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D8" w:rsidRPr="00F275BF" w:rsidRDefault="00741ED8" w:rsidP="00741ED8">
      <w:pPr>
        <w:rPr>
          <w:b/>
          <w:i/>
          <w:iCs/>
        </w:rPr>
      </w:pPr>
      <w:r w:rsidRPr="00F275BF">
        <w:rPr>
          <w:b/>
          <w:i/>
          <w:iCs/>
        </w:rPr>
        <w:t xml:space="preserve">To view this email in a browser, please click </w:t>
      </w:r>
      <w:hyperlink r:id="rId4" w:history="1">
        <w:r w:rsidR="00F275BF" w:rsidRPr="00F275BF">
          <w:rPr>
            <w:rStyle w:val="Hyperlink"/>
            <w:b/>
            <w:i/>
            <w:iCs/>
            <w:sz w:val="32"/>
            <w:szCs w:val="32"/>
          </w:rPr>
          <w:t>HERE</w:t>
        </w:r>
      </w:hyperlink>
    </w:p>
    <w:tbl>
      <w:tblPr>
        <w:tblW w:w="10065"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741ED8" w:rsidRPr="00741ED8" w:rsidTr="00F275BF">
        <w:trPr>
          <w:tblCellSpacing w:w="0" w:type="dxa"/>
          <w:jc w:val="center"/>
        </w:trPr>
        <w:tc>
          <w:tcPr>
            <w:tcW w:w="10065" w:type="dxa"/>
            <w:shd w:val="clear" w:color="auto" w:fill="FFFFFF"/>
            <w:tcMar>
              <w:top w:w="60" w:type="dxa"/>
              <w:left w:w="60" w:type="dxa"/>
              <w:bottom w:w="60" w:type="dxa"/>
              <w:right w:w="60" w:type="dxa"/>
            </w:tcMar>
            <w:vAlign w:val="center"/>
            <w:hideMark/>
          </w:tcPr>
          <w:tbl>
            <w:tblPr>
              <w:tblW w:w="9747" w:type="dxa"/>
              <w:jc w:val="center"/>
              <w:tblCellSpacing w:w="0" w:type="dxa"/>
              <w:tblCellMar>
                <w:left w:w="0" w:type="dxa"/>
                <w:right w:w="0" w:type="dxa"/>
              </w:tblCellMar>
              <w:tblLook w:val="04A0" w:firstRow="1" w:lastRow="0" w:firstColumn="1" w:lastColumn="0" w:noHBand="0" w:noVBand="1"/>
            </w:tblPr>
            <w:tblGrid>
              <w:gridCol w:w="10368"/>
              <w:gridCol w:w="6"/>
              <w:gridCol w:w="6"/>
            </w:tblGrid>
            <w:tr w:rsidR="00741ED8" w:rsidRPr="00741ED8" w:rsidTr="00F275BF">
              <w:trPr>
                <w:gridAfter w:val="2"/>
                <w:wAfter w:w="26" w:type="dxa"/>
                <w:tblCellSpacing w:w="0" w:type="dxa"/>
                <w:jc w:val="center"/>
              </w:trPr>
              <w:tc>
                <w:tcPr>
                  <w:tcW w:w="9721" w:type="dxa"/>
                  <w:vAlign w:val="center"/>
                  <w:hideMark/>
                </w:tcPr>
                <w:p w:rsidR="00741ED8" w:rsidRPr="00741ED8" w:rsidRDefault="00741ED8" w:rsidP="00741ED8"/>
              </w:tc>
            </w:tr>
            <w:tr w:rsidR="00741ED8" w:rsidRPr="00741ED8" w:rsidTr="00F275BF">
              <w:trPr>
                <w:gridAfter w:val="2"/>
                <w:wAfter w:w="26" w:type="dxa"/>
                <w:trHeight w:val="900"/>
                <w:tblCellSpacing w:w="0" w:type="dxa"/>
                <w:jc w:val="center"/>
              </w:trPr>
              <w:tc>
                <w:tcPr>
                  <w:tcW w:w="9721" w:type="dxa"/>
                  <w:hideMark/>
                </w:tcPr>
                <w:p w:rsidR="00741ED8" w:rsidRPr="00741ED8" w:rsidRDefault="00741ED8" w:rsidP="00741ED8">
                  <w:r w:rsidRPr="00741ED8">
                    <w:drawing>
                      <wp:inline distT="0" distB="0" distL="0" distR="0">
                        <wp:extent cx="1292225" cy="292735"/>
                        <wp:effectExtent l="0" t="0" r="3175" b="0"/>
                        <wp:docPr id="5" name="Picture 5" descr="Description: Thomson Reut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homson Reuter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92225" cy="292735"/>
                                </a:xfrm>
                                <a:prstGeom prst="rect">
                                  <a:avLst/>
                                </a:prstGeom>
                                <a:noFill/>
                                <a:ln>
                                  <a:noFill/>
                                </a:ln>
                              </pic:spPr>
                            </pic:pic>
                          </a:graphicData>
                        </a:graphic>
                      </wp:inline>
                    </w:drawing>
                  </w:r>
                  <w:r w:rsidRPr="00741ED8">
                    <w:br/>
                    <w:t> </w:t>
                  </w:r>
                </w:p>
              </w:tc>
            </w:tr>
            <w:tr w:rsidR="00741ED8" w:rsidRPr="00741ED8" w:rsidTr="00F275BF">
              <w:trPr>
                <w:tblCellSpacing w:w="0" w:type="dxa"/>
                <w:jc w:val="center"/>
              </w:trPr>
              <w:tc>
                <w:tcPr>
                  <w:tcW w:w="9721" w:type="dxa"/>
                  <w:vAlign w:val="center"/>
                  <w:hideMark/>
                </w:tcPr>
                <w:p w:rsidR="00741ED8" w:rsidRPr="00741ED8" w:rsidRDefault="00741ED8" w:rsidP="00741ED8">
                  <w:r w:rsidRPr="00741ED8">
                    <w:drawing>
                      <wp:inline distT="0" distB="0" distL="0" distR="0">
                        <wp:extent cx="4907280" cy="1085215"/>
                        <wp:effectExtent l="0" t="0" r="7620" b="635"/>
                        <wp:docPr id="4" name="Picture 4" descr="Description: Thomson Reuters - ASEAN Regulatory Summit ASEAN Ban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homson Reuters - ASEAN Regulatory Summit ASEAN Banker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9894" cy="1090216"/>
                                </a:xfrm>
                                <a:prstGeom prst="rect">
                                  <a:avLst/>
                                </a:prstGeom>
                                <a:noFill/>
                                <a:ln>
                                  <a:noFill/>
                                </a:ln>
                              </pic:spPr>
                            </pic:pic>
                          </a:graphicData>
                        </a:graphic>
                      </wp:inline>
                    </w:drawing>
                  </w:r>
                </w:p>
              </w:tc>
              <w:tc>
                <w:tcPr>
                  <w:tcW w:w="20" w:type="dxa"/>
                  <w:vAlign w:val="center"/>
                  <w:hideMark/>
                </w:tcPr>
                <w:p w:rsidR="00741ED8" w:rsidRPr="00741ED8" w:rsidRDefault="00741ED8" w:rsidP="00741ED8"/>
              </w:tc>
              <w:tc>
                <w:tcPr>
                  <w:tcW w:w="0" w:type="auto"/>
                  <w:vAlign w:val="center"/>
                  <w:hideMark/>
                </w:tcPr>
                <w:p w:rsidR="00741ED8" w:rsidRPr="00741ED8" w:rsidRDefault="00741ED8" w:rsidP="00741ED8"/>
              </w:tc>
            </w:tr>
            <w:tr w:rsidR="00741ED8" w:rsidRPr="00741ED8" w:rsidTr="00F275BF">
              <w:trPr>
                <w:tblCellSpacing w:w="0" w:type="dxa"/>
                <w:jc w:val="center"/>
              </w:trPr>
              <w:tc>
                <w:tcPr>
                  <w:tcW w:w="9721" w:type="dxa"/>
                  <w:tcMar>
                    <w:top w:w="75" w:type="dxa"/>
                    <w:left w:w="0" w:type="dxa"/>
                    <w:bottom w:w="0" w:type="dxa"/>
                    <w:right w:w="0" w:type="dxa"/>
                  </w:tcMar>
                  <w:vAlign w:val="center"/>
                  <w:hideMark/>
                </w:tcPr>
                <w:p w:rsidR="00741ED8" w:rsidRPr="00741ED8" w:rsidRDefault="00741ED8" w:rsidP="00741ED8">
                  <w:r w:rsidRPr="00741ED8">
                    <w:t>Thomson Reuters</w:t>
                  </w:r>
                </w:p>
              </w:tc>
              <w:tc>
                <w:tcPr>
                  <w:tcW w:w="20" w:type="dxa"/>
                  <w:vAlign w:val="center"/>
                  <w:hideMark/>
                </w:tcPr>
                <w:p w:rsidR="00741ED8" w:rsidRPr="00741ED8" w:rsidRDefault="00741ED8" w:rsidP="00741ED8"/>
              </w:tc>
              <w:tc>
                <w:tcPr>
                  <w:tcW w:w="0" w:type="auto"/>
                  <w:vAlign w:val="center"/>
                  <w:hideMark/>
                </w:tcPr>
                <w:p w:rsidR="00741ED8" w:rsidRPr="00741ED8" w:rsidRDefault="00741ED8" w:rsidP="00741ED8"/>
              </w:tc>
            </w:tr>
            <w:tr w:rsidR="00741ED8" w:rsidRPr="00741ED8" w:rsidTr="00F275BF">
              <w:trPr>
                <w:tblCellSpacing w:w="0" w:type="dxa"/>
                <w:jc w:val="center"/>
              </w:trPr>
              <w:tc>
                <w:tcPr>
                  <w:tcW w:w="9721" w:type="dxa"/>
                  <w:tcMar>
                    <w:top w:w="225" w:type="dxa"/>
                    <w:left w:w="0" w:type="dxa"/>
                    <w:bottom w:w="0" w:type="dxa"/>
                    <w:right w:w="0" w:type="dxa"/>
                  </w:tcMar>
                  <w:vAlign w:val="center"/>
                  <w:hideMark/>
                </w:tcPr>
                <w:tbl>
                  <w:tblPr>
                    <w:tblW w:w="10368" w:type="dxa"/>
                    <w:tblCellSpacing w:w="0" w:type="dxa"/>
                    <w:tblCellMar>
                      <w:left w:w="0" w:type="dxa"/>
                      <w:right w:w="0" w:type="dxa"/>
                    </w:tblCellMar>
                    <w:tblLook w:val="04A0" w:firstRow="1" w:lastRow="0" w:firstColumn="1" w:lastColumn="0" w:noHBand="0" w:noVBand="1"/>
                  </w:tblPr>
                  <w:tblGrid>
                    <w:gridCol w:w="87"/>
                    <w:gridCol w:w="5382"/>
                    <w:gridCol w:w="425"/>
                    <w:gridCol w:w="4474"/>
                  </w:tblGrid>
                  <w:tr w:rsidR="00741ED8" w:rsidRPr="00741ED8" w:rsidTr="00F275BF">
                    <w:trPr>
                      <w:tblCellSpacing w:w="0" w:type="dxa"/>
                    </w:trPr>
                    <w:tc>
                      <w:tcPr>
                        <w:tcW w:w="87" w:type="dxa"/>
                        <w:shd w:val="clear" w:color="auto" w:fill="FFFFFF"/>
                        <w:vAlign w:val="center"/>
                        <w:hideMark/>
                      </w:tcPr>
                      <w:p w:rsidR="00741ED8" w:rsidRPr="00741ED8" w:rsidRDefault="00741ED8" w:rsidP="00741ED8"/>
                    </w:tc>
                    <w:tc>
                      <w:tcPr>
                        <w:tcW w:w="5382" w:type="dxa"/>
                        <w:shd w:val="clear" w:color="auto" w:fill="FFFFFF"/>
                        <w:tcMar>
                          <w:top w:w="225" w:type="dxa"/>
                          <w:left w:w="0" w:type="dxa"/>
                          <w:bottom w:w="0" w:type="dxa"/>
                          <w:right w:w="0" w:type="dxa"/>
                        </w:tcMar>
                        <w:hideMark/>
                      </w:tcPr>
                      <w:p w:rsidR="00741ED8" w:rsidRPr="00741ED8" w:rsidRDefault="00741ED8" w:rsidP="00741ED8">
                        <w:r w:rsidRPr="00741ED8">
                          <w:t>INAUGURAL ASEAN REGULATORY SUMMIT</w:t>
                        </w:r>
                      </w:p>
                      <w:p w:rsidR="00741ED8" w:rsidRPr="00741ED8" w:rsidRDefault="00741ED8" w:rsidP="00741ED8">
                        <w:r w:rsidRPr="00741ED8">
                          <w:t>Dear Colleague</w:t>
                        </w:r>
                        <w:proofErr w:type="gramStart"/>
                        <w:r w:rsidRPr="00741ED8">
                          <w:t>,</w:t>
                        </w:r>
                        <w:proofErr w:type="gramEnd"/>
                        <w:r w:rsidRPr="00741ED8">
                          <w:br/>
                        </w:r>
                        <w:r w:rsidRPr="00741ED8">
                          <w:br/>
                        </w:r>
                        <w:r w:rsidRPr="00741ED8">
                          <w:rPr>
                            <w:b/>
                            <w:bCs/>
                          </w:rPr>
                          <w:t>· </w:t>
                        </w:r>
                        <w:r w:rsidRPr="00741ED8">
                          <w:t>Would you benefit from meeting over 400 risk and compliance leaders from across the ASEAN financial industry?</w:t>
                        </w:r>
                        <w:r w:rsidRPr="00741ED8">
                          <w:br/>
                          <w:t>· Will a detailed knowledge of likely developments in the ASEAN regulatory environment over the next 5-10 years help you plan better for the future? </w:t>
                        </w:r>
                        <w:r w:rsidRPr="00741ED8">
                          <w:br/>
                        </w:r>
                        <w:r w:rsidRPr="00741ED8">
                          <w:rPr>
                            <w:b/>
                            <w:bCs/>
                          </w:rPr>
                          <w:t>· </w:t>
                        </w:r>
                        <w:r w:rsidRPr="00741ED8">
                          <w:t xml:space="preserve">Are the latest updates on how to harness the power of </w:t>
                        </w:r>
                        <w:proofErr w:type="spellStart"/>
                        <w:r w:rsidRPr="00741ED8">
                          <w:t>fintech</w:t>
                        </w:r>
                        <w:proofErr w:type="spellEnd"/>
                        <w:r w:rsidRPr="00741ED8">
                          <w:t xml:space="preserve"> to enhance your business key to long-term success? </w:t>
                        </w:r>
                        <w:r w:rsidRPr="00741ED8">
                          <w:br/>
                        </w:r>
                        <w:r w:rsidRPr="00741ED8">
                          <w:rPr>
                            <w:b/>
                            <w:bCs/>
                          </w:rPr>
                          <w:t>· </w:t>
                        </w:r>
                        <w:r w:rsidRPr="00741ED8">
                          <w:t>Will a deep understanding of the risks posed in areas such as KYC, AML, ABC and Cybercrime help you move beyond de-risking and help you maintain growth in the ASEAN region? </w:t>
                        </w:r>
                        <w:r w:rsidRPr="00741ED8">
                          <w:br/>
                        </w:r>
                        <w:r w:rsidRPr="00741ED8">
                          <w:rPr>
                            <w:b/>
                            <w:bCs/>
                          </w:rPr>
                          <w:t>· </w:t>
                        </w:r>
                        <w:r w:rsidRPr="00741ED8">
                          <w:t>Will understanding the future shape of CIS and ARFP help you access new markets and bring new clients on board?</w:t>
                        </w:r>
                        <w:r w:rsidRPr="00741ED8">
                          <w:br/>
                        </w:r>
                        <w:r w:rsidRPr="00741ED8">
                          <w:br/>
                          <w:t>If the answer to any of these questions is yes, then you need to join us at Thomson Reuters’ inaugural ASEAN Regulatory Summit, running at the Marina Bay Sands, Singapore, on November 24th. Join over 400 key industry participants for a detailed programmed of global, regional and local regulatory updates affecting the financial industry in the ASEAN region. This summit will  bringing together key regulators, financial industry bodies, leading academics and industry participants to offer a comprehensive overview of the regulatory environment across the region. </w:t>
                        </w:r>
                      </w:p>
                      <w:p w:rsidR="00741ED8" w:rsidRPr="00741ED8" w:rsidRDefault="00741ED8" w:rsidP="00741ED8">
                        <w:r w:rsidRPr="00741ED8">
                          <w:t>Join us in November for keynote presentations from:</w:t>
                        </w:r>
                      </w:p>
                      <w:p w:rsidR="00741ED8" w:rsidRPr="00741ED8" w:rsidRDefault="00741ED8" w:rsidP="00741ED8">
                        <w:r w:rsidRPr="00741ED8">
                          <w:rPr>
                            <w:b/>
                            <w:bCs/>
                          </w:rPr>
                          <w:t xml:space="preserve">Datuk </w:t>
                        </w:r>
                        <w:proofErr w:type="spellStart"/>
                        <w:r w:rsidRPr="00741ED8">
                          <w:rPr>
                            <w:b/>
                            <w:bCs/>
                          </w:rPr>
                          <w:t>Ranjit</w:t>
                        </w:r>
                        <w:proofErr w:type="spellEnd"/>
                        <w:r w:rsidRPr="00741ED8">
                          <w:rPr>
                            <w:b/>
                            <w:bCs/>
                          </w:rPr>
                          <w:t xml:space="preserve"> </w:t>
                        </w:r>
                        <w:proofErr w:type="spellStart"/>
                        <w:r w:rsidRPr="00741ED8">
                          <w:rPr>
                            <w:b/>
                            <w:bCs/>
                          </w:rPr>
                          <w:t>Ajit</w:t>
                        </w:r>
                        <w:proofErr w:type="spellEnd"/>
                        <w:r w:rsidRPr="00741ED8">
                          <w:rPr>
                            <w:b/>
                            <w:bCs/>
                          </w:rPr>
                          <w:t xml:space="preserve"> Singh</w:t>
                        </w:r>
                        <w:r w:rsidRPr="00741ED8">
                          <w:t xml:space="preserve">, Chairman, Securities Commission Malaysia, Chair of Growth &amp; Emerging Markets Committee, </w:t>
                        </w:r>
                        <w:r w:rsidRPr="00741ED8">
                          <w:lastRenderedPageBreak/>
                          <w:t>IOSCO &amp; Chair, ASEAN Capital Markets Forum </w:t>
                        </w:r>
                        <w:r w:rsidRPr="00741ED8">
                          <w:br/>
                        </w:r>
                        <w:r w:rsidRPr="00741ED8">
                          <w:br/>
                        </w:r>
                        <w:proofErr w:type="spellStart"/>
                        <w:r w:rsidRPr="00741ED8">
                          <w:rPr>
                            <w:b/>
                            <w:bCs/>
                          </w:rPr>
                          <w:t>Rapee</w:t>
                        </w:r>
                        <w:proofErr w:type="spellEnd"/>
                        <w:r w:rsidRPr="00741ED8">
                          <w:rPr>
                            <w:b/>
                            <w:bCs/>
                          </w:rPr>
                          <w:t xml:space="preserve"> </w:t>
                        </w:r>
                        <w:proofErr w:type="spellStart"/>
                        <w:r w:rsidRPr="00741ED8">
                          <w:rPr>
                            <w:b/>
                            <w:bCs/>
                          </w:rPr>
                          <w:t>Sucharitakul</w:t>
                        </w:r>
                        <w:proofErr w:type="spellEnd"/>
                        <w:r w:rsidRPr="00741ED8">
                          <w:t>, Secretary General, Securities and Exchange Commission – Thailand </w:t>
                        </w:r>
                        <w:r w:rsidRPr="00741ED8">
                          <w:br/>
                        </w:r>
                        <w:r w:rsidRPr="00741ED8">
                          <w:br/>
                        </w:r>
                        <w:r w:rsidRPr="00741ED8">
                          <w:rPr>
                            <w:b/>
                            <w:bCs/>
                          </w:rPr>
                          <w:t>Jayant Menon</w:t>
                        </w:r>
                        <w:r w:rsidRPr="00741ED8">
                          <w:t>, Lead Economist, Economic Research and Regional Cooperation Department, Asian Development Bank (ADB) </w:t>
                        </w:r>
                        <w:r w:rsidRPr="00741ED8">
                          <w:br/>
                        </w:r>
                        <w:r w:rsidRPr="00741ED8">
                          <w:br/>
                        </w:r>
                        <w:r w:rsidRPr="00741ED8">
                          <w:rPr>
                            <w:b/>
                            <w:bCs/>
                          </w:rPr>
                          <w:t>Tan Boon Gin</w:t>
                        </w:r>
                        <w:r w:rsidRPr="00741ED8">
                          <w:t>, Chief Regulatory Officer, Singapore Exchange </w:t>
                        </w:r>
                        <w:r w:rsidRPr="00741ED8">
                          <w:br/>
                        </w:r>
                        <w:r w:rsidRPr="00741ED8">
                          <w:br/>
                        </w:r>
                        <w:r w:rsidRPr="00741ED8">
                          <w:rPr>
                            <w:b/>
                            <w:bCs/>
                          </w:rPr>
                          <w:t xml:space="preserve">Nick </w:t>
                        </w:r>
                        <w:proofErr w:type="spellStart"/>
                        <w:r w:rsidRPr="00741ED8">
                          <w:rPr>
                            <w:b/>
                            <w:bCs/>
                          </w:rPr>
                          <w:t>Ronalds</w:t>
                        </w:r>
                        <w:proofErr w:type="spellEnd"/>
                        <w:r w:rsidRPr="00741ED8">
                          <w:t>, Managing Director, Head of Equities, ASIFMA </w:t>
                        </w:r>
                      </w:p>
                    </w:tc>
                    <w:tc>
                      <w:tcPr>
                        <w:tcW w:w="425" w:type="dxa"/>
                        <w:shd w:val="clear" w:color="auto" w:fill="FFFFFF"/>
                        <w:vAlign w:val="center"/>
                        <w:hideMark/>
                      </w:tcPr>
                      <w:p w:rsidR="00741ED8" w:rsidRPr="00741ED8" w:rsidRDefault="00741ED8" w:rsidP="00741ED8"/>
                    </w:tc>
                    <w:tc>
                      <w:tcPr>
                        <w:tcW w:w="4474" w:type="dxa"/>
                        <w:shd w:val="clear" w:color="auto" w:fill="FFFFFF"/>
                        <w:hideMark/>
                      </w:tcPr>
                      <w:tbl>
                        <w:tblPr>
                          <w:tblW w:w="4407" w:type="dxa"/>
                          <w:tblCellSpacing w:w="0" w:type="dxa"/>
                          <w:shd w:val="clear" w:color="auto" w:fill="EDEDED"/>
                          <w:tblCellMar>
                            <w:left w:w="0" w:type="dxa"/>
                            <w:right w:w="0" w:type="dxa"/>
                          </w:tblCellMar>
                          <w:tblLook w:val="04A0" w:firstRow="1" w:lastRow="0" w:firstColumn="1" w:lastColumn="0" w:noHBand="0" w:noVBand="1"/>
                        </w:tblPr>
                        <w:tblGrid>
                          <w:gridCol w:w="4407"/>
                        </w:tblGrid>
                        <w:tr w:rsidR="00741ED8" w:rsidRPr="00741ED8" w:rsidTr="00F275BF">
                          <w:trPr>
                            <w:tblCellSpacing w:w="0" w:type="dxa"/>
                          </w:trPr>
                          <w:tc>
                            <w:tcPr>
                              <w:tcW w:w="5000" w:type="pct"/>
                              <w:shd w:val="clear" w:color="auto" w:fill="EDEDED"/>
                              <w:tcMar>
                                <w:top w:w="150" w:type="dxa"/>
                                <w:left w:w="150" w:type="dxa"/>
                                <w:bottom w:w="150" w:type="dxa"/>
                                <w:right w:w="150" w:type="dxa"/>
                              </w:tcMar>
                              <w:hideMark/>
                            </w:tcPr>
                            <w:p w:rsidR="00741ED8" w:rsidRPr="00741ED8" w:rsidRDefault="00741ED8" w:rsidP="00741ED8">
                              <w:r w:rsidRPr="00741ED8">
                                <w:rPr>
                                  <w:b/>
                                  <w:bCs/>
                                </w:rPr>
                                <w:t xml:space="preserve">For more details of the event or to find out how to join the speaker faculty, please contact: </w:t>
                              </w:r>
                              <w:hyperlink r:id="rId10" w:history="1">
                                <w:r w:rsidRPr="00741ED8">
                                  <w:rPr>
                                    <w:rStyle w:val="Hyperlink"/>
                                  </w:rPr>
                                  <w:t>colin.carter@thomsonreuters.com</w:t>
                                </w:r>
                              </w:hyperlink>
                              <w:r w:rsidRPr="00741ED8">
                                <w:t xml:space="preserve"> or call +65 6318 4746</w:t>
                              </w:r>
                              <w:r w:rsidRPr="00741ED8">
                                <w:br/>
                              </w:r>
                              <w:r w:rsidRPr="00741ED8">
                                <w:br/>
                              </w:r>
                              <w:r w:rsidRPr="00741ED8">
                                <w:rPr>
                                  <w:b/>
                                  <w:bCs/>
                                </w:rPr>
                                <w:t>Attendees from banks and financial institutions as well as regulators and academics can attend for free – To register for this event, please click </w:t>
                              </w:r>
                              <w:hyperlink r:id="rId11" w:tgtFrame="_blank" w:history="1">
                                <w:r w:rsidRPr="00741ED8">
                                  <w:rPr>
                                    <w:rStyle w:val="Hyperlink"/>
                                    <w:b/>
                                    <w:bCs/>
                                  </w:rPr>
                                  <w:t>here</w:t>
                                </w:r>
                              </w:hyperlink>
                              <w:r w:rsidRPr="00741ED8">
                                <w:rPr>
                                  <w:b/>
                                  <w:bCs/>
                                </w:rPr>
                                <w:t xml:space="preserve"> </w:t>
                              </w:r>
                              <w:r w:rsidRPr="00741ED8">
                                <w:t xml:space="preserve">and complete the online registration form. For help with registrations, please contact </w:t>
                              </w:r>
                              <w:hyperlink r:id="rId12" w:history="1">
                                <w:r w:rsidRPr="00741ED8">
                                  <w:rPr>
                                    <w:rStyle w:val="Hyperlink"/>
                                  </w:rPr>
                                  <w:t>colin.carter@thomsonreuters.com</w:t>
                                </w:r>
                              </w:hyperlink>
                              <w:r w:rsidRPr="00741ED8">
                                <w:t xml:space="preserve"> or call</w:t>
                              </w:r>
                              <w:r w:rsidRPr="00741ED8">
                                <w:br/>
                                <w:t>+65 6318 4746 for more details.</w:t>
                              </w:r>
                              <w:r w:rsidRPr="00741ED8">
                                <w:br/>
                              </w:r>
                              <w:r w:rsidRPr="00741ED8">
                                <w:br/>
                              </w:r>
                              <w:r w:rsidRPr="00741ED8">
                                <w:rPr>
                                  <w:b/>
                                  <w:bCs/>
                                </w:rPr>
                                <w:t xml:space="preserve">Attendees from law firms, consultancies, technology and other service providers can attend the event at the delegate rate of US$1,295. To register for the event, please </w:t>
                              </w:r>
                              <w:bookmarkStart w:id="0" w:name="_GoBack"/>
                              <w:bookmarkEnd w:id="0"/>
                              <w:r w:rsidRPr="00741ED8">
                                <w:rPr>
                                  <w:b/>
                                  <w:bCs/>
                                </w:rPr>
                                <w:t>click </w:t>
                              </w:r>
                              <w:hyperlink r:id="rId13" w:tgtFrame="_blank" w:history="1">
                                <w:r w:rsidRPr="00741ED8">
                                  <w:rPr>
                                    <w:rStyle w:val="Hyperlink"/>
                                    <w:b/>
                                    <w:bCs/>
                                  </w:rPr>
                                  <w:t>here</w:t>
                                </w:r>
                              </w:hyperlink>
                              <w:r w:rsidRPr="00741ED8">
                                <w:t> - Register today to see over 40 speakers in the financial and compliance sectors and to network with global and regional leaders in this field.</w:t>
                              </w:r>
                            </w:p>
                          </w:tc>
                        </w:tr>
                      </w:tbl>
                      <w:p w:rsidR="00741ED8" w:rsidRPr="00741ED8" w:rsidRDefault="00741ED8" w:rsidP="00741ED8"/>
                    </w:tc>
                  </w:tr>
                </w:tbl>
                <w:p w:rsidR="00741ED8" w:rsidRPr="00741ED8" w:rsidRDefault="00741ED8" w:rsidP="00741ED8"/>
              </w:tc>
              <w:tc>
                <w:tcPr>
                  <w:tcW w:w="20" w:type="dxa"/>
                  <w:vAlign w:val="center"/>
                  <w:hideMark/>
                </w:tcPr>
                <w:p w:rsidR="00741ED8" w:rsidRPr="00741ED8" w:rsidRDefault="00741ED8" w:rsidP="00741ED8"/>
              </w:tc>
              <w:tc>
                <w:tcPr>
                  <w:tcW w:w="0" w:type="auto"/>
                  <w:vAlign w:val="center"/>
                  <w:hideMark/>
                </w:tcPr>
                <w:p w:rsidR="00741ED8" w:rsidRPr="00741ED8" w:rsidRDefault="00741ED8" w:rsidP="00741ED8"/>
              </w:tc>
            </w:tr>
            <w:tr w:rsidR="00741ED8" w:rsidRPr="00741ED8" w:rsidTr="00F275BF">
              <w:trPr>
                <w:trHeight w:val="900"/>
                <w:tblCellSpacing w:w="0" w:type="dxa"/>
                <w:jc w:val="center"/>
              </w:trPr>
              <w:tc>
                <w:tcPr>
                  <w:tcW w:w="9721" w:type="dxa"/>
                </w:tcPr>
                <w:p w:rsidR="00741ED8" w:rsidRPr="00741ED8" w:rsidRDefault="00741ED8" w:rsidP="00741ED8"/>
                <w:tbl>
                  <w:tblPr>
                    <w:tblW w:w="5000" w:type="pct"/>
                    <w:tblCellSpacing w:w="0" w:type="dxa"/>
                    <w:tblBorders>
                      <w:top w:val="single" w:sz="8" w:space="0" w:color="C2C2C2"/>
                      <w:bottom w:val="single" w:sz="8" w:space="0" w:color="C2C2C2"/>
                    </w:tblBorders>
                    <w:tblCellMar>
                      <w:left w:w="0" w:type="dxa"/>
                      <w:right w:w="0" w:type="dxa"/>
                    </w:tblCellMar>
                    <w:tblLook w:val="04A0" w:firstRow="1" w:lastRow="0" w:firstColumn="1" w:lastColumn="0" w:noHBand="0" w:noVBand="1"/>
                  </w:tblPr>
                  <w:tblGrid>
                    <w:gridCol w:w="5099"/>
                    <w:gridCol w:w="5269"/>
                  </w:tblGrid>
                  <w:tr w:rsidR="00741ED8" w:rsidRPr="00741ED8">
                    <w:trPr>
                      <w:tblCellSpacing w:w="0" w:type="dxa"/>
                    </w:trPr>
                    <w:tc>
                      <w:tcPr>
                        <w:tcW w:w="0" w:type="auto"/>
                        <w:tcBorders>
                          <w:top w:val="nil"/>
                          <w:left w:val="nil"/>
                          <w:bottom w:val="nil"/>
                          <w:right w:val="nil"/>
                        </w:tcBorders>
                        <w:tcMar>
                          <w:top w:w="90" w:type="dxa"/>
                          <w:left w:w="90" w:type="dxa"/>
                          <w:bottom w:w="90" w:type="dxa"/>
                          <w:right w:w="90" w:type="dxa"/>
                        </w:tcMar>
                        <w:vAlign w:val="center"/>
                        <w:hideMark/>
                      </w:tcPr>
                      <w:p w:rsidR="00741ED8" w:rsidRPr="00741ED8" w:rsidRDefault="00741ED8" w:rsidP="00741ED8">
                        <w:hyperlink r:id="rId14" w:tgtFrame="_blank" w:history="1">
                          <w:r w:rsidRPr="00741ED8">
                            <w:rPr>
                              <w:rStyle w:val="Hyperlink"/>
                            </w:rPr>
                            <w:t>THOMSON REUTERS</w:t>
                          </w:r>
                        </w:hyperlink>
                      </w:p>
                    </w:tc>
                    <w:tc>
                      <w:tcPr>
                        <w:tcW w:w="0" w:type="auto"/>
                        <w:tcBorders>
                          <w:top w:val="nil"/>
                          <w:left w:val="nil"/>
                          <w:bottom w:val="nil"/>
                          <w:right w:val="nil"/>
                        </w:tcBorders>
                        <w:tcMar>
                          <w:top w:w="90" w:type="dxa"/>
                          <w:left w:w="90" w:type="dxa"/>
                          <w:bottom w:w="90" w:type="dxa"/>
                          <w:right w:w="90" w:type="dxa"/>
                        </w:tcMar>
                        <w:vAlign w:val="center"/>
                        <w:hideMark/>
                      </w:tcPr>
                      <w:p w:rsidR="00741ED8" w:rsidRPr="00741ED8" w:rsidRDefault="00741ED8" w:rsidP="00741ED8">
                        <w:hyperlink r:id="rId15" w:tgtFrame="_blank" w:tooltip="Click to visit thomsonreuters.com" w:history="1">
                          <w:r w:rsidRPr="00741ED8">
                            <w:rPr>
                              <w:rStyle w:val="Hyperlink"/>
                            </w:rPr>
                            <w:t>thomsonreuters.com</w:t>
                          </w:r>
                        </w:hyperlink>
                      </w:p>
                    </w:tc>
                  </w:tr>
                </w:tbl>
                <w:p w:rsidR="00741ED8" w:rsidRPr="00741ED8" w:rsidRDefault="00741ED8" w:rsidP="00741ED8"/>
              </w:tc>
              <w:tc>
                <w:tcPr>
                  <w:tcW w:w="20" w:type="dxa"/>
                  <w:vAlign w:val="center"/>
                  <w:hideMark/>
                </w:tcPr>
                <w:p w:rsidR="00741ED8" w:rsidRPr="00741ED8" w:rsidRDefault="00741ED8" w:rsidP="00741ED8"/>
              </w:tc>
              <w:tc>
                <w:tcPr>
                  <w:tcW w:w="0" w:type="auto"/>
                  <w:vAlign w:val="center"/>
                  <w:hideMark/>
                </w:tcPr>
                <w:p w:rsidR="00741ED8" w:rsidRPr="00741ED8" w:rsidRDefault="00741ED8" w:rsidP="00741ED8"/>
              </w:tc>
            </w:tr>
            <w:tr w:rsidR="00741ED8" w:rsidRPr="00741ED8" w:rsidTr="00F275BF">
              <w:trPr>
                <w:tblCellSpacing w:w="0" w:type="dxa"/>
                <w:jc w:val="center"/>
              </w:trPr>
              <w:tc>
                <w:tcPr>
                  <w:tcW w:w="9721" w:type="dxa"/>
                  <w:vAlign w:val="bottom"/>
                  <w:hideMark/>
                </w:tcPr>
                <w:p w:rsidR="00741ED8" w:rsidRPr="00741ED8" w:rsidRDefault="00741ED8" w:rsidP="00741ED8">
                  <w:r w:rsidRPr="00741ED8">
                    <w:br/>
                    <w:t>In partnership with:</w:t>
                  </w:r>
                  <w:r w:rsidRPr="00741ED8">
                    <w:br/>
                  </w:r>
                  <w:r w:rsidRPr="00741ED8">
                    <w:br/>
                    <w:t>   </w:t>
                  </w:r>
                  <w:r w:rsidRPr="00741ED8">
                    <w:drawing>
                      <wp:inline distT="0" distB="0" distL="0" distR="0">
                        <wp:extent cx="1097280" cy="231775"/>
                        <wp:effectExtent l="0" t="0" r="7620" b="0"/>
                        <wp:docPr id="3" name="Picture 3" descr="Description: http://online.thomsonreuters.com/edm/assets/vs635786009801065196e/CFA_institu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online.thomsonreuters.com/edm/assets/vs635786009801065196e/CFA_institute_RG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97280" cy="231775"/>
                                </a:xfrm>
                                <a:prstGeom prst="rect">
                                  <a:avLst/>
                                </a:prstGeom>
                                <a:noFill/>
                                <a:ln>
                                  <a:noFill/>
                                </a:ln>
                              </pic:spPr>
                            </pic:pic>
                          </a:graphicData>
                        </a:graphic>
                      </wp:inline>
                    </w:drawing>
                  </w:r>
                  <w:r w:rsidRPr="00741ED8">
                    <w:t>   </w:t>
                  </w:r>
                  <w:r w:rsidRPr="00741ED8">
                    <w:drawing>
                      <wp:inline distT="0" distB="0" distL="0" distR="0">
                        <wp:extent cx="731520" cy="335280"/>
                        <wp:effectExtent l="0" t="0" r="0" b="7620"/>
                        <wp:docPr id="2" name="Picture 2" descr="Description: http://online.thomsonreuters.com/edm/assets/vs635786009801065196e/asif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online.thomsonreuters.com/edm/assets/vs635786009801065196e/asifma.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31520" cy="335280"/>
                                </a:xfrm>
                                <a:prstGeom prst="rect">
                                  <a:avLst/>
                                </a:prstGeom>
                                <a:noFill/>
                                <a:ln>
                                  <a:noFill/>
                                </a:ln>
                              </pic:spPr>
                            </pic:pic>
                          </a:graphicData>
                        </a:graphic>
                      </wp:inline>
                    </w:drawing>
                  </w:r>
                  <w:r w:rsidRPr="00741ED8">
                    <w:t>   </w:t>
                  </w:r>
                  <w:r w:rsidRPr="00741ED8">
                    <w:drawing>
                      <wp:inline distT="0" distB="0" distL="0" distR="0">
                        <wp:extent cx="975360" cy="304800"/>
                        <wp:effectExtent l="0" t="0" r="0" b="0"/>
                        <wp:docPr id="1" name="Picture 1" descr="Description: http://online.thomsonreuters.com/edm/assets/vs635810247797738971e/H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online.thomsonreuters.com/edm/assets/vs635810247797738971e/HOLogo1.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75360" cy="304800"/>
                                </a:xfrm>
                                <a:prstGeom prst="rect">
                                  <a:avLst/>
                                </a:prstGeom>
                                <a:noFill/>
                                <a:ln>
                                  <a:noFill/>
                                </a:ln>
                              </pic:spPr>
                            </pic:pic>
                          </a:graphicData>
                        </a:graphic>
                      </wp:inline>
                    </w:drawing>
                  </w:r>
                </w:p>
              </w:tc>
              <w:tc>
                <w:tcPr>
                  <w:tcW w:w="20" w:type="dxa"/>
                  <w:vAlign w:val="center"/>
                  <w:hideMark/>
                </w:tcPr>
                <w:p w:rsidR="00741ED8" w:rsidRPr="00741ED8" w:rsidRDefault="00741ED8" w:rsidP="00741ED8"/>
              </w:tc>
              <w:tc>
                <w:tcPr>
                  <w:tcW w:w="0" w:type="auto"/>
                  <w:vAlign w:val="center"/>
                  <w:hideMark/>
                </w:tcPr>
                <w:p w:rsidR="00741ED8" w:rsidRPr="00741ED8" w:rsidRDefault="00741ED8" w:rsidP="00741ED8"/>
              </w:tc>
            </w:tr>
          </w:tbl>
          <w:p w:rsidR="00741ED8" w:rsidRPr="00741ED8" w:rsidRDefault="00741ED8" w:rsidP="00741ED8"/>
        </w:tc>
      </w:tr>
    </w:tbl>
    <w:p w:rsidR="0010379D" w:rsidRDefault="0010379D"/>
    <w:sectPr w:rsidR="0010379D" w:rsidSect="00F275B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D8"/>
    <w:rsid w:val="00003733"/>
    <w:rsid w:val="00003AE4"/>
    <w:rsid w:val="00004AFB"/>
    <w:rsid w:val="000065E4"/>
    <w:rsid w:val="00010879"/>
    <w:rsid w:val="0001089D"/>
    <w:rsid w:val="0001221B"/>
    <w:rsid w:val="00012479"/>
    <w:rsid w:val="00013796"/>
    <w:rsid w:val="00016765"/>
    <w:rsid w:val="000169B1"/>
    <w:rsid w:val="00021CCF"/>
    <w:rsid w:val="00021DD3"/>
    <w:rsid w:val="00022271"/>
    <w:rsid w:val="00022391"/>
    <w:rsid w:val="00022C64"/>
    <w:rsid w:val="000242F7"/>
    <w:rsid w:val="000248DE"/>
    <w:rsid w:val="00024B06"/>
    <w:rsid w:val="00025894"/>
    <w:rsid w:val="00026211"/>
    <w:rsid w:val="00026B8F"/>
    <w:rsid w:val="00026FD9"/>
    <w:rsid w:val="0002708C"/>
    <w:rsid w:val="00027544"/>
    <w:rsid w:val="00030071"/>
    <w:rsid w:val="00030500"/>
    <w:rsid w:val="00033336"/>
    <w:rsid w:val="000338A7"/>
    <w:rsid w:val="0003407D"/>
    <w:rsid w:val="000360E7"/>
    <w:rsid w:val="000366B8"/>
    <w:rsid w:val="00036A46"/>
    <w:rsid w:val="00036D58"/>
    <w:rsid w:val="000370FF"/>
    <w:rsid w:val="0003742D"/>
    <w:rsid w:val="000375D7"/>
    <w:rsid w:val="00037984"/>
    <w:rsid w:val="000406C6"/>
    <w:rsid w:val="00041CB9"/>
    <w:rsid w:val="00041E26"/>
    <w:rsid w:val="00042142"/>
    <w:rsid w:val="00042308"/>
    <w:rsid w:val="0004242B"/>
    <w:rsid w:val="00045871"/>
    <w:rsid w:val="00047540"/>
    <w:rsid w:val="00047B18"/>
    <w:rsid w:val="00050B07"/>
    <w:rsid w:val="00050B4B"/>
    <w:rsid w:val="000525DA"/>
    <w:rsid w:val="00052F00"/>
    <w:rsid w:val="000539FC"/>
    <w:rsid w:val="000575FC"/>
    <w:rsid w:val="00057FF7"/>
    <w:rsid w:val="0006005E"/>
    <w:rsid w:val="00060716"/>
    <w:rsid w:val="0006209D"/>
    <w:rsid w:val="00062462"/>
    <w:rsid w:val="00064037"/>
    <w:rsid w:val="00064D28"/>
    <w:rsid w:val="00065391"/>
    <w:rsid w:val="00065C4B"/>
    <w:rsid w:val="00066B28"/>
    <w:rsid w:val="000711FD"/>
    <w:rsid w:val="00071C5E"/>
    <w:rsid w:val="00071C62"/>
    <w:rsid w:val="0007309F"/>
    <w:rsid w:val="00073F66"/>
    <w:rsid w:val="00076BCE"/>
    <w:rsid w:val="00080B82"/>
    <w:rsid w:val="00081805"/>
    <w:rsid w:val="00081CAB"/>
    <w:rsid w:val="00081CC5"/>
    <w:rsid w:val="00082810"/>
    <w:rsid w:val="00082931"/>
    <w:rsid w:val="00083604"/>
    <w:rsid w:val="000840DF"/>
    <w:rsid w:val="0008525F"/>
    <w:rsid w:val="0009116A"/>
    <w:rsid w:val="0009163C"/>
    <w:rsid w:val="00091A36"/>
    <w:rsid w:val="000928B7"/>
    <w:rsid w:val="00092ABD"/>
    <w:rsid w:val="000948BE"/>
    <w:rsid w:val="0009727A"/>
    <w:rsid w:val="000A06BC"/>
    <w:rsid w:val="000A207B"/>
    <w:rsid w:val="000A233B"/>
    <w:rsid w:val="000A3094"/>
    <w:rsid w:val="000A3AD6"/>
    <w:rsid w:val="000A3CBE"/>
    <w:rsid w:val="000A4A6A"/>
    <w:rsid w:val="000A57EA"/>
    <w:rsid w:val="000A7FA0"/>
    <w:rsid w:val="000B21EC"/>
    <w:rsid w:val="000B2A16"/>
    <w:rsid w:val="000B2A26"/>
    <w:rsid w:val="000B2AD3"/>
    <w:rsid w:val="000B6C15"/>
    <w:rsid w:val="000B7E3A"/>
    <w:rsid w:val="000B7E94"/>
    <w:rsid w:val="000C2C8B"/>
    <w:rsid w:val="000C4734"/>
    <w:rsid w:val="000C5645"/>
    <w:rsid w:val="000C6244"/>
    <w:rsid w:val="000C6F67"/>
    <w:rsid w:val="000C778B"/>
    <w:rsid w:val="000D0607"/>
    <w:rsid w:val="000D25A2"/>
    <w:rsid w:val="000D2C77"/>
    <w:rsid w:val="000D34DF"/>
    <w:rsid w:val="000D3C98"/>
    <w:rsid w:val="000D5111"/>
    <w:rsid w:val="000D7BCF"/>
    <w:rsid w:val="000E18CE"/>
    <w:rsid w:val="000E1C5F"/>
    <w:rsid w:val="000E4596"/>
    <w:rsid w:val="000E51F8"/>
    <w:rsid w:val="000E7354"/>
    <w:rsid w:val="000E7A71"/>
    <w:rsid w:val="000F1B2D"/>
    <w:rsid w:val="000F26C0"/>
    <w:rsid w:val="000F45AD"/>
    <w:rsid w:val="000F46AD"/>
    <w:rsid w:val="000F6CDE"/>
    <w:rsid w:val="000F7D37"/>
    <w:rsid w:val="00100336"/>
    <w:rsid w:val="00100EA5"/>
    <w:rsid w:val="0010161D"/>
    <w:rsid w:val="00101932"/>
    <w:rsid w:val="00101AC8"/>
    <w:rsid w:val="00101DB2"/>
    <w:rsid w:val="00103395"/>
    <w:rsid w:val="0010379D"/>
    <w:rsid w:val="001061AC"/>
    <w:rsid w:val="001073D4"/>
    <w:rsid w:val="00107493"/>
    <w:rsid w:val="00107983"/>
    <w:rsid w:val="00107DBF"/>
    <w:rsid w:val="00107F54"/>
    <w:rsid w:val="0011069A"/>
    <w:rsid w:val="00111D3F"/>
    <w:rsid w:val="001122E3"/>
    <w:rsid w:val="00112312"/>
    <w:rsid w:val="001124FC"/>
    <w:rsid w:val="00112F14"/>
    <w:rsid w:val="00113953"/>
    <w:rsid w:val="00113B7E"/>
    <w:rsid w:val="00114F07"/>
    <w:rsid w:val="00115206"/>
    <w:rsid w:val="00116E44"/>
    <w:rsid w:val="00117A14"/>
    <w:rsid w:val="0012067C"/>
    <w:rsid w:val="00121D17"/>
    <w:rsid w:val="00121F71"/>
    <w:rsid w:val="001237D3"/>
    <w:rsid w:val="00124B3C"/>
    <w:rsid w:val="0012501A"/>
    <w:rsid w:val="0012551B"/>
    <w:rsid w:val="00126715"/>
    <w:rsid w:val="001301F1"/>
    <w:rsid w:val="00130733"/>
    <w:rsid w:val="00132B72"/>
    <w:rsid w:val="00132CF0"/>
    <w:rsid w:val="001338F9"/>
    <w:rsid w:val="0013416E"/>
    <w:rsid w:val="001373EB"/>
    <w:rsid w:val="0013773D"/>
    <w:rsid w:val="0014059D"/>
    <w:rsid w:val="00141FDA"/>
    <w:rsid w:val="001421D3"/>
    <w:rsid w:val="00142410"/>
    <w:rsid w:val="00142560"/>
    <w:rsid w:val="00142573"/>
    <w:rsid w:val="00145C81"/>
    <w:rsid w:val="001467FF"/>
    <w:rsid w:val="001472B2"/>
    <w:rsid w:val="00147300"/>
    <w:rsid w:val="00147A49"/>
    <w:rsid w:val="00147BF5"/>
    <w:rsid w:val="00147F4B"/>
    <w:rsid w:val="001509D2"/>
    <w:rsid w:val="00151398"/>
    <w:rsid w:val="00151B41"/>
    <w:rsid w:val="00154904"/>
    <w:rsid w:val="001564E5"/>
    <w:rsid w:val="00157026"/>
    <w:rsid w:val="001579F1"/>
    <w:rsid w:val="00157E90"/>
    <w:rsid w:val="00160EF5"/>
    <w:rsid w:val="00163281"/>
    <w:rsid w:val="00163E18"/>
    <w:rsid w:val="00164C6D"/>
    <w:rsid w:val="00165A14"/>
    <w:rsid w:val="001665A8"/>
    <w:rsid w:val="0017120A"/>
    <w:rsid w:val="0017200A"/>
    <w:rsid w:val="0017229F"/>
    <w:rsid w:val="00173FAA"/>
    <w:rsid w:val="00174CAD"/>
    <w:rsid w:val="00174FB5"/>
    <w:rsid w:val="001800A7"/>
    <w:rsid w:val="0018104A"/>
    <w:rsid w:val="001823BC"/>
    <w:rsid w:val="00182A29"/>
    <w:rsid w:val="00183B0E"/>
    <w:rsid w:val="00183E7F"/>
    <w:rsid w:val="00187688"/>
    <w:rsid w:val="00187815"/>
    <w:rsid w:val="00187DDA"/>
    <w:rsid w:val="00190349"/>
    <w:rsid w:val="001905C0"/>
    <w:rsid w:val="00191337"/>
    <w:rsid w:val="001919BD"/>
    <w:rsid w:val="00192D48"/>
    <w:rsid w:val="001935F2"/>
    <w:rsid w:val="001937DF"/>
    <w:rsid w:val="001944B6"/>
    <w:rsid w:val="001954BA"/>
    <w:rsid w:val="001A08AE"/>
    <w:rsid w:val="001A11EF"/>
    <w:rsid w:val="001A374E"/>
    <w:rsid w:val="001A3AB5"/>
    <w:rsid w:val="001A5FBB"/>
    <w:rsid w:val="001A6B0D"/>
    <w:rsid w:val="001B1477"/>
    <w:rsid w:val="001B1AA0"/>
    <w:rsid w:val="001B1B91"/>
    <w:rsid w:val="001B1E25"/>
    <w:rsid w:val="001B25A1"/>
    <w:rsid w:val="001B2EFB"/>
    <w:rsid w:val="001B3654"/>
    <w:rsid w:val="001B4224"/>
    <w:rsid w:val="001C038B"/>
    <w:rsid w:val="001C0579"/>
    <w:rsid w:val="001C0B15"/>
    <w:rsid w:val="001C1BA0"/>
    <w:rsid w:val="001C4C1B"/>
    <w:rsid w:val="001C6E71"/>
    <w:rsid w:val="001C729C"/>
    <w:rsid w:val="001C73AC"/>
    <w:rsid w:val="001D0EDD"/>
    <w:rsid w:val="001D1BD8"/>
    <w:rsid w:val="001D2672"/>
    <w:rsid w:val="001D3090"/>
    <w:rsid w:val="001D43DD"/>
    <w:rsid w:val="001D4A93"/>
    <w:rsid w:val="001D4C35"/>
    <w:rsid w:val="001D5869"/>
    <w:rsid w:val="001D6329"/>
    <w:rsid w:val="001D644A"/>
    <w:rsid w:val="001D6556"/>
    <w:rsid w:val="001D76A8"/>
    <w:rsid w:val="001D79AD"/>
    <w:rsid w:val="001E0DB5"/>
    <w:rsid w:val="001E1B3B"/>
    <w:rsid w:val="001E1CE2"/>
    <w:rsid w:val="001E222D"/>
    <w:rsid w:val="001E2D46"/>
    <w:rsid w:val="001E2EA8"/>
    <w:rsid w:val="001E3827"/>
    <w:rsid w:val="001E3859"/>
    <w:rsid w:val="001E5357"/>
    <w:rsid w:val="001E6AEB"/>
    <w:rsid w:val="001E6FEC"/>
    <w:rsid w:val="001F00C3"/>
    <w:rsid w:val="001F14B5"/>
    <w:rsid w:val="001F1DBE"/>
    <w:rsid w:val="001F1F62"/>
    <w:rsid w:val="001F2D93"/>
    <w:rsid w:val="001F37D9"/>
    <w:rsid w:val="001F4146"/>
    <w:rsid w:val="001F4804"/>
    <w:rsid w:val="001F4C13"/>
    <w:rsid w:val="001F5331"/>
    <w:rsid w:val="001F6741"/>
    <w:rsid w:val="001F7DF4"/>
    <w:rsid w:val="0020006F"/>
    <w:rsid w:val="0020055A"/>
    <w:rsid w:val="0020157E"/>
    <w:rsid w:val="002025A5"/>
    <w:rsid w:val="002025A6"/>
    <w:rsid w:val="00203CA0"/>
    <w:rsid w:val="00204F67"/>
    <w:rsid w:val="002055ED"/>
    <w:rsid w:val="002078CA"/>
    <w:rsid w:val="00213CAD"/>
    <w:rsid w:val="00216FD5"/>
    <w:rsid w:val="002170E5"/>
    <w:rsid w:val="002200B8"/>
    <w:rsid w:val="00221F34"/>
    <w:rsid w:val="002239C2"/>
    <w:rsid w:val="002246B5"/>
    <w:rsid w:val="00225314"/>
    <w:rsid w:val="00225794"/>
    <w:rsid w:val="0022593F"/>
    <w:rsid w:val="00230D57"/>
    <w:rsid w:val="0023155B"/>
    <w:rsid w:val="00231719"/>
    <w:rsid w:val="00231B3B"/>
    <w:rsid w:val="00233273"/>
    <w:rsid w:val="00233D06"/>
    <w:rsid w:val="0023407C"/>
    <w:rsid w:val="002345CC"/>
    <w:rsid w:val="00235F97"/>
    <w:rsid w:val="00236A9A"/>
    <w:rsid w:val="002379F6"/>
    <w:rsid w:val="00237D53"/>
    <w:rsid w:val="002406EB"/>
    <w:rsid w:val="0024163B"/>
    <w:rsid w:val="00241A88"/>
    <w:rsid w:val="00241AC5"/>
    <w:rsid w:val="00241BE3"/>
    <w:rsid w:val="00241D8B"/>
    <w:rsid w:val="0024211A"/>
    <w:rsid w:val="0024312D"/>
    <w:rsid w:val="00244ACF"/>
    <w:rsid w:val="00245574"/>
    <w:rsid w:val="00246834"/>
    <w:rsid w:val="00246A7D"/>
    <w:rsid w:val="00246FD4"/>
    <w:rsid w:val="00250E3D"/>
    <w:rsid w:val="00250EC9"/>
    <w:rsid w:val="00252D17"/>
    <w:rsid w:val="00252E03"/>
    <w:rsid w:val="002562FB"/>
    <w:rsid w:val="00257452"/>
    <w:rsid w:val="002601A7"/>
    <w:rsid w:val="00260846"/>
    <w:rsid w:val="00262753"/>
    <w:rsid w:val="00262A3E"/>
    <w:rsid w:val="00270214"/>
    <w:rsid w:val="002711BF"/>
    <w:rsid w:val="00272965"/>
    <w:rsid w:val="0027415A"/>
    <w:rsid w:val="002741F8"/>
    <w:rsid w:val="0027549A"/>
    <w:rsid w:val="002764F3"/>
    <w:rsid w:val="00276BFD"/>
    <w:rsid w:val="002770C7"/>
    <w:rsid w:val="00277558"/>
    <w:rsid w:val="00280FF9"/>
    <w:rsid w:val="0028131F"/>
    <w:rsid w:val="002820FB"/>
    <w:rsid w:val="002858F5"/>
    <w:rsid w:val="00285F8C"/>
    <w:rsid w:val="00291AAA"/>
    <w:rsid w:val="00291BF8"/>
    <w:rsid w:val="002925FD"/>
    <w:rsid w:val="00292A98"/>
    <w:rsid w:val="00292AFD"/>
    <w:rsid w:val="00292B29"/>
    <w:rsid w:val="00292E33"/>
    <w:rsid w:val="002931D9"/>
    <w:rsid w:val="002938AF"/>
    <w:rsid w:val="00296C7A"/>
    <w:rsid w:val="00297A6C"/>
    <w:rsid w:val="002A14FF"/>
    <w:rsid w:val="002A2BFB"/>
    <w:rsid w:val="002A2EBE"/>
    <w:rsid w:val="002A31A0"/>
    <w:rsid w:val="002A354C"/>
    <w:rsid w:val="002A4851"/>
    <w:rsid w:val="002A4CFC"/>
    <w:rsid w:val="002A6BCD"/>
    <w:rsid w:val="002B187C"/>
    <w:rsid w:val="002B4279"/>
    <w:rsid w:val="002B6386"/>
    <w:rsid w:val="002B7202"/>
    <w:rsid w:val="002C08CB"/>
    <w:rsid w:val="002C1E29"/>
    <w:rsid w:val="002C2304"/>
    <w:rsid w:val="002C3D3E"/>
    <w:rsid w:val="002C44E3"/>
    <w:rsid w:val="002C5A0A"/>
    <w:rsid w:val="002C613F"/>
    <w:rsid w:val="002C6A26"/>
    <w:rsid w:val="002C71C3"/>
    <w:rsid w:val="002D0749"/>
    <w:rsid w:val="002D0C80"/>
    <w:rsid w:val="002D1684"/>
    <w:rsid w:val="002D1F3D"/>
    <w:rsid w:val="002D3FFE"/>
    <w:rsid w:val="002D47C0"/>
    <w:rsid w:val="002D4FC3"/>
    <w:rsid w:val="002D695A"/>
    <w:rsid w:val="002D752A"/>
    <w:rsid w:val="002E16B5"/>
    <w:rsid w:val="002E1A2F"/>
    <w:rsid w:val="002E207F"/>
    <w:rsid w:val="002E2500"/>
    <w:rsid w:val="002E284C"/>
    <w:rsid w:val="002E3D99"/>
    <w:rsid w:val="002E6B57"/>
    <w:rsid w:val="002E79FB"/>
    <w:rsid w:val="002E7F49"/>
    <w:rsid w:val="002F0F3E"/>
    <w:rsid w:val="002F17D9"/>
    <w:rsid w:val="002F3020"/>
    <w:rsid w:val="002F336D"/>
    <w:rsid w:val="002F4BA8"/>
    <w:rsid w:val="002F527B"/>
    <w:rsid w:val="002F6F39"/>
    <w:rsid w:val="002F6FA0"/>
    <w:rsid w:val="002F7625"/>
    <w:rsid w:val="002F7B47"/>
    <w:rsid w:val="002F7D54"/>
    <w:rsid w:val="0030002E"/>
    <w:rsid w:val="003007D4"/>
    <w:rsid w:val="00304B81"/>
    <w:rsid w:val="00304BD5"/>
    <w:rsid w:val="00304FFB"/>
    <w:rsid w:val="003057B1"/>
    <w:rsid w:val="00306737"/>
    <w:rsid w:val="0030681A"/>
    <w:rsid w:val="00306F03"/>
    <w:rsid w:val="00307D9A"/>
    <w:rsid w:val="003107ED"/>
    <w:rsid w:val="0031418B"/>
    <w:rsid w:val="00314AF9"/>
    <w:rsid w:val="00314E46"/>
    <w:rsid w:val="00316916"/>
    <w:rsid w:val="00316954"/>
    <w:rsid w:val="00316C84"/>
    <w:rsid w:val="00320B1C"/>
    <w:rsid w:val="00320DA8"/>
    <w:rsid w:val="003218D0"/>
    <w:rsid w:val="00321D4C"/>
    <w:rsid w:val="00321F1E"/>
    <w:rsid w:val="00321F23"/>
    <w:rsid w:val="00323178"/>
    <w:rsid w:val="00324030"/>
    <w:rsid w:val="003247CF"/>
    <w:rsid w:val="00327E81"/>
    <w:rsid w:val="003321C7"/>
    <w:rsid w:val="0033275A"/>
    <w:rsid w:val="00333135"/>
    <w:rsid w:val="0033434B"/>
    <w:rsid w:val="0033605C"/>
    <w:rsid w:val="00336E26"/>
    <w:rsid w:val="0033702D"/>
    <w:rsid w:val="00337A05"/>
    <w:rsid w:val="00340E2B"/>
    <w:rsid w:val="00341116"/>
    <w:rsid w:val="00347664"/>
    <w:rsid w:val="003503C0"/>
    <w:rsid w:val="003512AA"/>
    <w:rsid w:val="00352B73"/>
    <w:rsid w:val="00352E1B"/>
    <w:rsid w:val="00355D99"/>
    <w:rsid w:val="00355EBE"/>
    <w:rsid w:val="003614FF"/>
    <w:rsid w:val="00362B37"/>
    <w:rsid w:val="00362D1F"/>
    <w:rsid w:val="0036370B"/>
    <w:rsid w:val="003707FD"/>
    <w:rsid w:val="00371415"/>
    <w:rsid w:val="00371A34"/>
    <w:rsid w:val="00371B37"/>
    <w:rsid w:val="00372AD6"/>
    <w:rsid w:val="00372BCF"/>
    <w:rsid w:val="00372EB5"/>
    <w:rsid w:val="00373269"/>
    <w:rsid w:val="00374587"/>
    <w:rsid w:val="00375F6A"/>
    <w:rsid w:val="00376F54"/>
    <w:rsid w:val="003773F1"/>
    <w:rsid w:val="00380BD5"/>
    <w:rsid w:val="0038122A"/>
    <w:rsid w:val="003827AD"/>
    <w:rsid w:val="00382860"/>
    <w:rsid w:val="00382F55"/>
    <w:rsid w:val="00384901"/>
    <w:rsid w:val="00384C4D"/>
    <w:rsid w:val="003865BF"/>
    <w:rsid w:val="003904D1"/>
    <w:rsid w:val="00390D14"/>
    <w:rsid w:val="00392ACE"/>
    <w:rsid w:val="00392C6F"/>
    <w:rsid w:val="00392C85"/>
    <w:rsid w:val="00394ADE"/>
    <w:rsid w:val="00394DB3"/>
    <w:rsid w:val="003952E7"/>
    <w:rsid w:val="00395DDC"/>
    <w:rsid w:val="003969FC"/>
    <w:rsid w:val="003A0D72"/>
    <w:rsid w:val="003A1659"/>
    <w:rsid w:val="003A16E7"/>
    <w:rsid w:val="003A3497"/>
    <w:rsid w:val="003A4FC9"/>
    <w:rsid w:val="003B2DC6"/>
    <w:rsid w:val="003B321B"/>
    <w:rsid w:val="003B3372"/>
    <w:rsid w:val="003B373D"/>
    <w:rsid w:val="003B3E14"/>
    <w:rsid w:val="003B4134"/>
    <w:rsid w:val="003B44A5"/>
    <w:rsid w:val="003B4BC1"/>
    <w:rsid w:val="003B6C10"/>
    <w:rsid w:val="003C06B5"/>
    <w:rsid w:val="003C1035"/>
    <w:rsid w:val="003C4802"/>
    <w:rsid w:val="003C4FBA"/>
    <w:rsid w:val="003C733B"/>
    <w:rsid w:val="003C796B"/>
    <w:rsid w:val="003D027B"/>
    <w:rsid w:val="003D080A"/>
    <w:rsid w:val="003D240C"/>
    <w:rsid w:val="003D2CFD"/>
    <w:rsid w:val="003D4984"/>
    <w:rsid w:val="003D59D8"/>
    <w:rsid w:val="003E0AB5"/>
    <w:rsid w:val="003E172A"/>
    <w:rsid w:val="003E1F84"/>
    <w:rsid w:val="003E3E99"/>
    <w:rsid w:val="003E3FDA"/>
    <w:rsid w:val="003E4F74"/>
    <w:rsid w:val="003E50CE"/>
    <w:rsid w:val="003E6C7B"/>
    <w:rsid w:val="003F0497"/>
    <w:rsid w:val="003F1390"/>
    <w:rsid w:val="003F14F9"/>
    <w:rsid w:val="003F1F48"/>
    <w:rsid w:val="003F2427"/>
    <w:rsid w:val="003F2587"/>
    <w:rsid w:val="003F3157"/>
    <w:rsid w:val="003F44B9"/>
    <w:rsid w:val="003F79FF"/>
    <w:rsid w:val="00400284"/>
    <w:rsid w:val="00400417"/>
    <w:rsid w:val="004008E1"/>
    <w:rsid w:val="00400A28"/>
    <w:rsid w:val="00401BBB"/>
    <w:rsid w:val="0040424A"/>
    <w:rsid w:val="00404319"/>
    <w:rsid w:val="00405580"/>
    <w:rsid w:val="00405B10"/>
    <w:rsid w:val="0040704F"/>
    <w:rsid w:val="00407551"/>
    <w:rsid w:val="004102FF"/>
    <w:rsid w:val="00410D78"/>
    <w:rsid w:val="004129AD"/>
    <w:rsid w:val="00412A23"/>
    <w:rsid w:val="00413318"/>
    <w:rsid w:val="0041695C"/>
    <w:rsid w:val="0041749D"/>
    <w:rsid w:val="004205E8"/>
    <w:rsid w:val="00421559"/>
    <w:rsid w:val="0042290F"/>
    <w:rsid w:val="00423442"/>
    <w:rsid w:val="004241B5"/>
    <w:rsid w:val="00424460"/>
    <w:rsid w:val="00424EE3"/>
    <w:rsid w:val="00425817"/>
    <w:rsid w:val="00425F09"/>
    <w:rsid w:val="004263D4"/>
    <w:rsid w:val="00426BDE"/>
    <w:rsid w:val="0042786D"/>
    <w:rsid w:val="00427B2F"/>
    <w:rsid w:val="004305D6"/>
    <w:rsid w:val="00430615"/>
    <w:rsid w:val="00430FC4"/>
    <w:rsid w:val="0043195F"/>
    <w:rsid w:val="00431A3D"/>
    <w:rsid w:val="00432744"/>
    <w:rsid w:val="004327C8"/>
    <w:rsid w:val="00433C6D"/>
    <w:rsid w:val="00433ED5"/>
    <w:rsid w:val="00434541"/>
    <w:rsid w:val="00434BF6"/>
    <w:rsid w:val="00434C9D"/>
    <w:rsid w:val="00436343"/>
    <w:rsid w:val="00436E74"/>
    <w:rsid w:val="00441A47"/>
    <w:rsid w:val="00444070"/>
    <w:rsid w:val="00444C32"/>
    <w:rsid w:val="00446713"/>
    <w:rsid w:val="00447252"/>
    <w:rsid w:val="004472A0"/>
    <w:rsid w:val="0045162F"/>
    <w:rsid w:val="00451FB5"/>
    <w:rsid w:val="00452B2F"/>
    <w:rsid w:val="00452D7C"/>
    <w:rsid w:val="004552F5"/>
    <w:rsid w:val="004574F4"/>
    <w:rsid w:val="004600EE"/>
    <w:rsid w:val="00462E63"/>
    <w:rsid w:val="00463A01"/>
    <w:rsid w:val="00465A79"/>
    <w:rsid w:val="00465ED6"/>
    <w:rsid w:val="004673EC"/>
    <w:rsid w:val="004703FE"/>
    <w:rsid w:val="004725D1"/>
    <w:rsid w:val="00472C32"/>
    <w:rsid w:val="00473715"/>
    <w:rsid w:val="004739F8"/>
    <w:rsid w:val="00474A85"/>
    <w:rsid w:val="00476778"/>
    <w:rsid w:val="00477180"/>
    <w:rsid w:val="0047747A"/>
    <w:rsid w:val="0048058F"/>
    <w:rsid w:val="0048163C"/>
    <w:rsid w:val="00482BB6"/>
    <w:rsid w:val="00485BB7"/>
    <w:rsid w:val="0048773F"/>
    <w:rsid w:val="004916B8"/>
    <w:rsid w:val="00493402"/>
    <w:rsid w:val="00494F74"/>
    <w:rsid w:val="00495214"/>
    <w:rsid w:val="00496111"/>
    <w:rsid w:val="00496223"/>
    <w:rsid w:val="00497B21"/>
    <w:rsid w:val="00497E9C"/>
    <w:rsid w:val="004A18FD"/>
    <w:rsid w:val="004A2BA3"/>
    <w:rsid w:val="004A301F"/>
    <w:rsid w:val="004A4D65"/>
    <w:rsid w:val="004A5A6E"/>
    <w:rsid w:val="004A5DE0"/>
    <w:rsid w:val="004B0B3E"/>
    <w:rsid w:val="004B1AA3"/>
    <w:rsid w:val="004B2304"/>
    <w:rsid w:val="004B299E"/>
    <w:rsid w:val="004B29D1"/>
    <w:rsid w:val="004B5EF5"/>
    <w:rsid w:val="004B7848"/>
    <w:rsid w:val="004B78FE"/>
    <w:rsid w:val="004B7C31"/>
    <w:rsid w:val="004C0D64"/>
    <w:rsid w:val="004C27A7"/>
    <w:rsid w:val="004C43B1"/>
    <w:rsid w:val="004C4437"/>
    <w:rsid w:val="004C48C3"/>
    <w:rsid w:val="004C7D27"/>
    <w:rsid w:val="004D01CD"/>
    <w:rsid w:val="004D0FE9"/>
    <w:rsid w:val="004D16DF"/>
    <w:rsid w:val="004D2205"/>
    <w:rsid w:val="004D2CF6"/>
    <w:rsid w:val="004D2E39"/>
    <w:rsid w:val="004D5D11"/>
    <w:rsid w:val="004D6994"/>
    <w:rsid w:val="004D6B50"/>
    <w:rsid w:val="004E0C2D"/>
    <w:rsid w:val="004E251B"/>
    <w:rsid w:val="004E2B68"/>
    <w:rsid w:val="004E3F3E"/>
    <w:rsid w:val="004E5452"/>
    <w:rsid w:val="004E61E9"/>
    <w:rsid w:val="004E687F"/>
    <w:rsid w:val="004F0637"/>
    <w:rsid w:val="004F17D6"/>
    <w:rsid w:val="004F2A31"/>
    <w:rsid w:val="004F3275"/>
    <w:rsid w:val="004F3AC6"/>
    <w:rsid w:val="004F440F"/>
    <w:rsid w:val="004F4B10"/>
    <w:rsid w:val="004F6892"/>
    <w:rsid w:val="004F698A"/>
    <w:rsid w:val="004F6CF5"/>
    <w:rsid w:val="004F729F"/>
    <w:rsid w:val="005004CC"/>
    <w:rsid w:val="00500CF3"/>
    <w:rsid w:val="00503F09"/>
    <w:rsid w:val="00504A22"/>
    <w:rsid w:val="00504DDF"/>
    <w:rsid w:val="00507FCE"/>
    <w:rsid w:val="00511EB1"/>
    <w:rsid w:val="0051221F"/>
    <w:rsid w:val="00512EBF"/>
    <w:rsid w:val="00513250"/>
    <w:rsid w:val="005134F5"/>
    <w:rsid w:val="00516EA7"/>
    <w:rsid w:val="005218EF"/>
    <w:rsid w:val="00522185"/>
    <w:rsid w:val="005233A2"/>
    <w:rsid w:val="00523563"/>
    <w:rsid w:val="0052559F"/>
    <w:rsid w:val="00525658"/>
    <w:rsid w:val="00525F7C"/>
    <w:rsid w:val="005260A7"/>
    <w:rsid w:val="00526341"/>
    <w:rsid w:val="005269BE"/>
    <w:rsid w:val="00527EE1"/>
    <w:rsid w:val="00530BEC"/>
    <w:rsid w:val="00531033"/>
    <w:rsid w:val="00531E36"/>
    <w:rsid w:val="005326F1"/>
    <w:rsid w:val="00532A18"/>
    <w:rsid w:val="00534DBA"/>
    <w:rsid w:val="0053500C"/>
    <w:rsid w:val="00536062"/>
    <w:rsid w:val="005360FA"/>
    <w:rsid w:val="00537999"/>
    <w:rsid w:val="00537C45"/>
    <w:rsid w:val="0054025D"/>
    <w:rsid w:val="00540F63"/>
    <w:rsid w:val="00542311"/>
    <w:rsid w:val="0054289E"/>
    <w:rsid w:val="005446DB"/>
    <w:rsid w:val="00544703"/>
    <w:rsid w:val="00545721"/>
    <w:rsid w:val="00545C9C"/>
    <w:rsid w:val="0055160D"/>
    <w:rsid w:val="00551E28"/>
    <w:rsid w:val="005525FD"/>
    <w:rsid w:val="00554ED6"/>
    <w:rsid w:val="005556D1"/>
    <w:rsid w:val="005602FD"/>
    <w:rsid w:val="00561CBB"/>
    <w:rsid w:val="0056267B"/>
    <w:rsid w:val="00563297"/>
    <w:rsid w:val="00564AB2"/>
    <w:rsid w:val="00564CBE"/>
    <w:rsid w:val="00567EC5"/>
    <w:rsid w:val="00571AB5"/>
    <w:rsid w:val="00571D65"/>
    <w:rsid w:val="00572025"/>
    <w:rsid w:val="00575788"/>
    <w:rsid w:val="005759B6"/>
    <w:rsid w:val="0057614B"/>
    <w:rsid w:val="005772D8"/>
    <w:rsid w:val="005802FF"/>
    <w:rsid w:val="00583131"/>
    <w:rsid w:val="0058475B"/>
    <w:rsid w:val="00585062"/>
    <w:rsid w:val="00585520"/>
    <w:rsid w:val="005864D1"/>
    <w:rsid w:val="0059344B"/>
    <w:rsid w:val="00593477"/>
    <w:rsid w:val="0059538F"/>
    <w:rsid w:val="00595B62"/>
    <w:rsid w:val="00597B91"/>
    <w:rsid w:val="00597D45"/>
    <w:rsid w:val="005A041C"/>
    <w:rsid w:val="005A1496"/>
    <w:rsid w:val="005A1AC5"/>
    <w:rsid w:val="005A1C64"/>
    <w:rsid w:val="005A2285"/>
    <w:rsid w:val="005A22F4"/>
    <w:rsid w:val="005A510D"/>
    <w:rsid w:val="005A69FF"/>
    <w:rsid w:val="005A6E77"/>
    <w:rsid w:val="005B1763"/>
    <w:rsid w:val="005B18C7"/>
    <w:rsid w:val="005B273D"/>
    <w:rsid w:val="005B511F"/>
    <w:rsid w:val="005B5854"/>
    <w:rsid w:val="005B7EF1"/>
    <w:rsid w:val="005C1DFE"/>
    <w:rsid w:val="005C1FED"/>
    <w:rsid w:val="005C229F"/>
    <w:rsid w:val="005C3FC2"/>
    <w:rsid w:val="005C56FC"/>
    <w:rsid w:val="005C6914"/>
    <w:rsid w:val="005C723B"/>
    <w:rsid w:val="005C728F"/>
    <w:rsid w:val="005D04C8"/>
    <w:rsid w:val="005D182D"/>
    <w:rsid w:val="005D26A8"/>
    <w:rsid w:val="005D39BC"/>
    <w:rsid w:val="005D3CB6"/>
    <w:rsid w:val="005D6921"/>
    <w:rsid w:val="005E0F00"/>
    <w:rsid w:val="005E1A51"/>
    <w:rsid w:val="005E264D"/>
    <w:rsid w:val="005E2B71"/>
    <w:rsid w:val="005E41C4"/>
    <w:rsid w:val="005E6D1A"/>
    <w:rsid w:val="005F0F80"/>
    <w:rsid w:val="005F16DC"/>
    <w:rsid w:val="005F17B4"/>
    <w:rsid w:val="005F20DC"/>
    <w:rsid w:val="005F2493"/>
    <w:rsid w:val="005F34E6"/>
    <w:rsid w:val="005F3868"/>
    <w:rsid w:val="005F3DB3"/>
    <w:rsid w:val="005F4EE1"/>
    <w:rsid w:val="005F5352"/>
    <w:rsid w:val="005F6635"/>
    <w:rsid w:val="005F67BF"/>
    <w:rsid w:val="005F773C"/>
    <w:rsid w:val="005F7A7B"/>
    <w:rsid w:val="00600B77"/>
    <w:rsid w:val="00600F32"/>
    <w:rsid w:val="00601109"/>
    <w:rsid w:val="00601CC5"/>
    <w:rsid w:val="00602745"/>
    <w:rsid w:val="006033B5"/>
    <w:rsid w:val="00603811"/>
    <w:rsid w:val="00607688"/>
    <w:rsid w:val="00607CEA"/>
    <w:rsid w:val="00610523"/>
    <w:rsid w:val="0061208A"/>
    <w:rsid w:val="00614019"/>
    <w:rsid w:val="006142DF"/>
    <w:rsid w:val="006149DD"/>
    <w:rsid w:val="00617A61"/>
    <w:rsid w:val="00620D3B"/>
    <w:rsid w:val="00622229"/>
    <w:rsid w:val="0062281C"/>
    <w:rsid w:val="00622EDE"/>
    <w:rsid w:val="006232A0"/>
    <w:rsid w:val="00623FE7"/>
    <w:rsid w:val="00624909"/>
    <w:rsid w:val="00624F04"/>
    <w:rsid w:val="00625222"/>
    <w:rsid w:val="00626F55"/>
    <w:rsid w:val="00632DAE"/>
    <w:rsid w:val="00633D3B"/>
    <w:rsid w:val="00633FBF"/>
    <w:rsid w:val="00634433"/>
    <w:rsid w:val="00635AD8"/>
    <w:rsid w:val="006369BB"/>
    <w:rsid w:val="006376DB"/>
    <w:rsid w:val="006402D4"/>
    <w:rsid w:val="00640713"/>
    <w:rsid w:val="00640F65"/>
    <w:rsid w:val="00640F6C"/>
    <w:rsid w:val="00641459"/>
    <w:rsid w:val="00642EAC"/>
    <w:rsid w:val="00643D8B"/>
    <w:rsid w:val="006445AB"/>
    <w:rsid w:val="00644A2F"/>
    <w:rsid w:val="00647587"/>
    <w:rsid w:val="006502C0"/>
    <w:rsid w:val="00651F0A"/>
    <w:rsid w:val="00652BFB"/>
    <w:rsid w:val="00653651"/>
    <w:rsid w:val="006552B2"/>
    <w:rsid w:val="00655CDD"/>
    <w:rsid w:val="00656489"/>
    <w:rsid w:val="00656B15"/>
    <w:rsid w:val="00656EBE"/>
    <w:rsid w:val="00661A65"/>
    <w:rsid w:val="00661D79"/>
    <w:rsid w:val="00661E76"/>
    <w:rsid w:val="00662646"/>
    <w:rsid w:val="006628AA"/>
    <w:rsid w:val="006628F3"/>
    <w:rsid w:val="00662A9A"/>
    <w:rsid w:val="006644D6"/>
    <w:rsid w:val="00664570"/>
    <w:rsid w:val="0066620A"/>
    <w:rsid w:val="00667AA6"/>
    <w:rsid w:val="0067051E"/>
    <w:rsid w:val="00673BCE"/>
    <w:rsid w:val="00674263"/>
    <w:rsid w:val="00675F01"/>
    <w:rsid w:val="00676CA6"/>
    <w:rsid w:val="006778DA"/>
    <w:rsid w:val="006802CC"/>
    <w:rsid w:val="00680788"/>
    <w:rsid w:val="00680A3B"/>
    <w:rsid w:val="00681675"/>
    <w:rsid w:val="00681A6D"/>
    <w:rsid w:val="006821DE"/>
    <w:rsid w:val="00683C68"/>
    <w:rsid w:val="00683F25"/>
    <w:rsid w:val="0068486A"/>
    <w:rsid w:val="00684DCD"/>
    <w:rsid w:val="00685B2E"/>
    <w:rsid w:val="00685E05"/>
    <w:rsid w:val="00686632"/>
    <w:rsid w:val="00687E0C"/>
    <w:rsid w:val="00687F34"/>
    <w:rsid w:val="00690110"/>
    <w:rsid w:val="00690E4B"/>
    <w:rsid w:val="0069144F"/>
    <w:rsid w:val="006921AF"/>
    <w:rsid w:val="006930D7"/>
    <w:rsid w:val="00694D0A"/>
    <w:rsid w:val="006963E8"/>
    <w:rsid w:val="0069663B"/>
    <w:rsid w:val="00696D1F"/>
    <w:rsid w:val="00697442"/>
    <w:rsid w:val="00697608"/>
    <w:rsid w:val="006A0D4F"/>
    <w:rsid w:val="006A0DFA"/>
    <w:rsid w:val="006A104E"/>
    <w:rsid w:val="006A11D2"/>
    <w:rsid w:val="006A244C"/>
    <w:rsid w:val="006A2A63"/>
    <w:rsid w:val="006A2D5B"/>
    <w:rsid w:val="006A47EE"/>
    <w:rsid w:val="006A49EC"/>
    <w:rsid w:val="006A5039"/>
    <w:rsid w:val="006A7275"/>
    <w:rsid w:val="006A7DE7"/>
    <w:rsid w:val="006B05B4"/>
    <w:rsid w:val="006B06D0"/>
    <w:rsid w:val="006B10BA"/>
    <w:rsid w:val="006B1585"/>
    <w:rsid w:val="006B236F"/>
    <w:rsid w:val="006B2406"/>
    <w:rsid w:val="006B25B1"/>
    <w:rsid w:val="006B2A88"/>
    <w:rsid w:val="006B2EF6"/>
    <w:rsid w:val="006B4D23"/>
    <w:rsid w:val="006B601D"/>
    <w:rsid w:val="006B602D"/>
    <w:rsid w:val="006B61F0"/>
    <w:rsid w:val="006B6828"/>
    <w:rsid w:val="006B6BB1"/>
    <w:rsid w:val="006C151E"/>
    <w:rsid w:val="006C164E"/>
    <w:rsid w:val="006C2BA7"/>
    <w:rsid w:val="006C2F45"/>
    <w:rsid w:val="006C313D"/>
    <w:rsid w:val="006C32B4"/>
    <w:rsid w:val="006C46AD"/>
    <w:rsid w:val="006C6BF2"/>
    <w:rsid w:val="006C6CBF"/>
    <w:rsid w:val="006C7595"/>
    <w:rsid w:val="006C786B"/>
    <w:rsid w:val="006C7F6C"/>
    <w:rsid w:val="006D2F7C"/>
    <w:rsid w:val="006D361E"/>
    <w:rsid w:val="006D492B"/>
    <w:rsid w:val="006D5B1A"/>
    <w:rsid w:val="006D679A"/>
    <w:rsid w:val="006D686D"/>
    <w:rsid w:val="006D69B2"/>
    <w:rsid w:val="006D7858"/>
    <w:rsid w:val="006D7C90"/>
    <w:rsid w:val="006E0141"/>
    <w:rsid w:val="006E0592"/>
    <w:rsid w:val="006E1374"/>
    <w:rsid w:val="006E232F"/>
    <w:rsid w:val="006E3570"/>
    <w:rsid w:val="006E39CE"/>
    <w:rsid w:val="006E3B33"/>
    <w:rsid w:val="006E48F8"/>
    <w:rsid w:val="006E4B88"/>
    <w:rsid w:val="006E51DE"/>
    <w:rsid w:val="006E5E7C"/>
    <w:rsid w:val="006E5F0C"/>
    <w:rsid w:val="006E5FF9"/>
    <w:rsid w:val="006E7B0F"/>
    <w:rsid w:val="006F027B"/>
    <w:rsid w:val="006F139F"/>
    <w:rsid w:val="006F1E19"/>
    <w:rsid w:val="006F3194"/>
    <w:rsid w:val="006F3D19"/>
    <w:rsid w:val="006F5101"/>
    <w:rsid w:val="00702086"/>
    <w:rsid w:val="00702353"/>
    <w:rsid w:val="00703BD7"/>
    <w:rsid w:val="00705050"/>
    <w:rsid w:val="007050C9"/>
    <w:rsid w:val="00705C3E"/>
    <w:rsid w:val="007060D2"/>
    <w:rsid w:val="007068F8"/>
    <w:rsid w:val="00706A98"/>
    <w:rsid w:val="00711022"/>
    <w:rsid w:val="007111A6"/>
    <w:rsid w:val="00711F93"/>
    <w:rsid w:val="007127F2"/>
    <w:rsid w:val="00712A36"/>
    <w:rsid w:val="00712CB1"/>
    <w:rsid w:val="00712F14"/>
    <w:rsid w:val="007141B6"/>
    <w:rsid w:val="00714802"/>
    <w:rsid w:val="00714B37"/>
    <w:rsid w:val="00715E9F"/>
    <w:rsid w:val="00716021"/>
    <w:rsid w:val="00716481"/>
    <w:rsid w:val="00717413"/>
    <w:rsid w:val="00717C1A"/>
    <w:rsid w:val="00721A9B"/>
    <w:rsid w:val="00722160"/>
    <w:rsid w:val="0072356A"/>
    <w:rsid w:val="00724F8E"/>
    <w:rsid w:val="00725154"/>
    <w:rsid w:val="007265ED"/>
    <w:rsid w:val="00731561"/>
    <w:rsid w:val="007315EF"/>
    <w:rsid w:val="007317F4"/>
    <w:rsid w:val="00732048"/>
    <w:rsid w:val="007322CB"/>
    <w:rsid w:val="007325D4"/>
    <w:rsid w:val="00732916"/>
    <w:rsid w:val="00734AD9"/>
    <w:rsid w:val="007353A2"/>
    <w:rsid w:val="007368EA"/>
    <w:rsid w:val="007374E7"/>
    <w:rsid w:val="00737ECF"/>
    <w:rsid w:val="00737F7F"/>
    <w:rsid w:val="00740636"/>
    <w:rsid w:val="007407AB"/>
    <w:rsid w:val="007417A8"/>
    <w:rsid w:val="00741ED8"/>
    <w:rsid w:val="00742B98"/>
    <w:rsid w:val="00742DDE"/>
    <w:rsid w:val="0074318F"/>
    <w:rsid w:val="00743199"/>
    <w:rsid w:val="00743F98"/>
    <w:rsid w:val="0074400D"/>
    <w:rsid w:val="007469AC"/>
    <w:rsid w:val="00747BB5"/>
    <w:rsid w:val="007504DE"/>
    <w:rsid w:val="0075149A"/>
    <w:rsid w:val="00751B9F"/>
    <w:rsid w:val="00751C2D"/>
    <w:rsid w:val="00751CF8"/>
    <w:rsid w:val="00752717"/>
    <w:rsid w:val="00752E73"/>
    <w:rsid w:val="00753296"/>
    <w:rsid w:val="0075396D"/>
    <w:rsid w:val="0075418A"/>
    <w:rsid w:val="007543F8"/>
    <w:rsid w:val="00755AF6"/>
    <w:rsid w:val="007568ED"/>
    <w:rsid w:val="00756B68"/>
    <w:rsid w:val="00757F56"/>
    <w:rsid w:val="0076060A"/>
    <w:rsid w:val="00760644"/>
    <w:rsid w:val="00762D51"/>
    <w:rsid w:val="0076342C"/>
    <w:rsid w:val="00766463"/>
    <w:rsid w:val="00770B76"/>
    <w:rsid w:val="00772B45"/>
    <w:rsid w:val="00773529"/>
    <w:rsid w:val="00773FB3"/>
    <w:rsid w:val="00775D12"/>
    <w:rsid w:val="00777AE3"/>
    <w:rsid w:val="00777BEF"/>
    <w:rsid w:val="00780229"/>
    <w:rsid w:val="007805A1"/>
    <w:rsid w:val="00780BC3"/>
    <w:rsid w:val="00781EB2"/>
    <w:rsid w:val="007829BC"/>
    <w:rsid w:val="00783A3E"/>
    <w:rsid w:val="0078461A"/>
    <w:rsid w:val="007846B4"/>
    <w:rsid w:val="00785374"/>
    <w:rsid w:val="007874C3"/>
    <w:rsid w:val="00787CFD"/>
    <w:rsid w:val="00790DE9"/>
    <w:rsid w:val="00790E5B"/>
    <w:rsid w:val="00791464"/>
    <w:rsid w:val="007932F7"/>
    <w:rsid w:val="00794503"/>
    <w:rsid w:val="00794C48"/>
    <w:rsid w:val="0079548F"/>
    <w:rsid w:val="007959EA"/>
    <w:rsid w:val="007A188A"/>
    <w:rsid w:val="007A1F14"/>
    <w:rsid w:val="007A235D"/>
    <w:rsid w:val="007B03E3"/>
    <w:rsid w:val="007B0DD0"/>
    <w:rsid w:val="007B1DAC"/>
    <w:rsid w:val="007B1F3D"/>
    <w:rsid w:val="007B27F3"/>
    <w:rsid w:val="007B29C9"/>
    <w:rsid w:val="007B2FE7"/>
    <w:rsid w:val="007B36FB"/>
    <w:rsid w:val="007B37FB"/>
    <w:rsid w:val="007B452E"/>
    <w:rsid w:val="007B5788"/>
    <w:rsid w:val="007B5E39"/>
    <w:rsid w:val="007B6D56"/>
    <w:rsid w:val="007B7587"/>
    <w:rsid w:val="007B7988"/>
    <w:rsid w:val="007B7CB3"/>
    <w:rsid w:val="007C397A"/>
    <w:rsid w:val="007C3DAF"/>
    <w:rsid w:val="007C3F39"/>
    <w:rsid w:val="007C4D44"/>
    <w:rsid w:val="007D0593"/>
    <w:rsid w:val="007D129C"/>
    <w:rsid w:val="007D215B"/>
    <w:rsid w:val="007D311A"/>
    <w:rsid w:val="007D3BB4"/>
    <w:rsid w:val="007D51C1"/>
    <w:rsid w:val="007D5CF4"/>
    <w:rsid w:val="007D651F"/>
    <w:rsid w:val="007D7537"/>
    <w:rsid w:val="007D7D18"/>
    <w:rsid w:val="007E00A2"/>
    <w:rsid w:val="007E0376"/>
    <w:rsid w:val="007E0862"/>
    <w:rsid w:val="007E0CAF"/>
    <w:rsid w:val="007E124E"/>
    <w:rsid w:val="007E28D5"/>
    <w:rsid w:val="007E347E"/>
    <w:rsid w:val="007E39BC"/>
    <w:rsid w:val="007E53AD"/>
    <w:rsid w:val="007E599C"/>
    <w:rsid w:val="007E60DF"/>
    <w:rsid w:val="007E6768"/>
    <w:rsid w:val="007E676A"/>
    <w:rsid w:val="007E7B8B"/>
    <w:rsid w:val="007F2943"/>
    <w:rsid w:val="007F49CE"/>
    <w:rsid w:val="00800828"/>
    <w:rsid w:val="0080500C"/>
    <w:rsid w:val="008053CE"/>
    <w:rsid w:val="00805BE7"/>
    <w:rsid w:val="00806E5B"/>
    <w:rsid w:val="00807906"/>
    <w:rsid w:val="0081074B"/>
    <w:rsid w:val="008114E1"/>
    <w:rsid w:val="00812720"/>
    <w:rsid w:val="008131B5"/>
    <w:rsid w:val="008141D7"/>
    <w:rsid w:val="008145E4"/>
    <w:rsid w:val="008157EB"/>
    <w:rsid w:val="008163A3"/>
    <w:rsid w:val="00820169"/>
    <w:rsid w:val="00822903"/>
    <w:rsid w:val="008232D8"/>
    <w:rsid w:val="0082463A"/>
    <w:rsid w:val="00824EA3"/>
    <w:rsid w:val="0082582B"/>
    <w:rsid w:val="00826E82"/>
    <w:rsid w:val="00830F3A"/>
    <w:rsid w:val="008312EB"/>
    <w:rsid w:val="008317D9"/>
    <w:rsid w:val="00831B8C"/>
    <w:rsid w:val="00832176"/>
    <w:rsid w:val="00834095"/>
    <w:rsid w:val="008354AD"/>
    <w:rsid w:val="00836B00"/>
    <w:rsid w:val="00841B3E"/>
    <w:rsid w:val="00842D3D"/>
    <w:rsid w:val="00843D11"/>
    <w:rsid w:val="00844D0A"/>
    <w:rsid w:val="00847C02"/>
    <w:rsid w:val="008501E0"/>
    <w:rsid w:val="00850300"/>
    <w:rsid w:val="00850C0F"/>
    <w:rsid w:val="00851F71"/>
    <w:rsid w:val="00852A9E"/>
    <w:rsid w:val="00854356"/>
    <w:rsid w:val="00855C8A"/>
    <w:rsid w:val="00855F08"/>
    <w:rsid w:val="008560D2"/>
    <w:rsid w:val="0085787C"/>
    <w:rsid w:val="00862589"/>
    <w:rsid w:val="00863192"/>
    <w:rsid w:val="00863B3A"/>
    <w:rsid w:val="00864138"/>
    <w:rsid w:val="00865B83"/>
    <w:rsid w:val="008663EC"/>
    <w:rsid w:val="00866BF0"/>
    <w:rsid w:val="0087066C"/>
    <w:rsid w:val="00871FE5"/>
    <w:rsid w:val="008739D2"/>
    <w:rsid w:val="00874115"/>
    <w:rsid w:val="008745BE"/>
    <w:rsid w:val="008747CF"/>
    <w:rsid w:val="0087507C"/>
    <w:rsid w:val="0087782E"/>
    <w:rsid w:val="00880626"/>
    <w:rsid w:val="008807F7"/>
    <w:rsid w:val="00880D21"/>
    <w:rsid w:val="00880EE1"/>
    <w:rsid w:val="008819FE"/>
    <w:rsid w:val="0088274A"/>
    <w:rsid w:val="0088289F"/>
    <w:rsid w:val="00882E4A"/>
    <w:rsid w:val="008843BF"/>
    <w:rsid w:val="008843ED"/>
    <w:rsid w:val="00884C74"/>
    <w:rsid w:val="00885218"/>
    <w:rsid w:val="00886D59"/>
    <w:rsid w:val="0088778A"/>
    <w:rsid w:val="00887A06"/>
    <w:rsid w:val="00887B5E"/>
    <w:rsid w:val="00890808"/>
    <w:rsid w:val="00890ACF"/>
    <w:rsid w:val="008913CD"/>
    <w:rsid w:val="00892ABC"/>
    <w:rsid w:val="00892B48"/>
    <w:rsid w:val="00892E92"/>
    <w:rsid w:val="00893724"/>
    <w:rsid w:val="00893F13"/>
    <w:rsid w:val="00894016"/>
    <w:rsid w:val="008942F0"/>
    <w:rsid w:val="00894701"/>
    <w:rsid w:val="00894CDF"/>
    <w:rsid w:val="008954CC"/>
    <w:rsid w:val="00895BE3"/>
    <w:rsid w:val="008A0C2F"/>
    <w:rsid w:val="008A1FF8"/>
    <w:rsid w:val="008A218E"/>
    <w:rsid w:val="008A3ACF"/>
    <w:rsid w:val="008A4A5F"/>
    <w:rsid w:val="008A4E89"/>
    <w:rsid w:val="008A67ED"/>
    <w:rsid w:val="008A67FD"/>
    <w:rsid w:val="008A73D9"/>
    <w:rsid w:val="008B066E"/>
    <w:rsid w:val="008B15CC"/>
    <w:rsid w:val="008B1A22"/>
    <w:rsid w:val="008B20FB"/>
    <w:rsid w:val="008B2346"/>
    <w:rsid w:val="008B25C5"/>
    <w:rsid w:val="008B77AF"/>
    <w:rsid w:val="008B786A"/>
    <w:rsid w:val="008B79DA"/>
    <w:rsid w:val="008C12F2"/>
    <w:rsid w:val="008C2653"/>
    <w:rsid w:val="008C27B6"/>
    <w:rsid w:val="008C27DA"/>
    <w:rsid w:val="008C2D17"/>
    <w:rsid w:val="008C43A0"/>
    <w:rsid w:val="008C4DAE"/>
    <w:rsid w:val="008C53BD"/>
    <w:rsid w:val="008C7D0F"/>
    <w:rsid w:val="008D007E"/>
    <w:rsid w:val="008D0260"/>
    <w:rsid w:val="008D049D"/>
    <w:rsid w:val="008D10F6"/>
    <w:rsid w:val="008D1374"/>
    <w:rsid w:val="008D161A"/>
    <w:rsid w:val="008D1DE7"/>
    <w:rsid w:val="008D2612"/>
    <w:rsid w:val="008D3D60"/>
    <w:rsid w:val="008D5615"/>
    <w:rsid w:val="008D6CB9"/>
    <w:rsid w:val="008D6EC1"/>
    <w:rsid w:val="008E0E76"/>
    <w:rsid w:val="008E2237"/>
    <w:rsid w:val="008E3428"/>
    <w:rsid w:val="008E5D3A"/>
    <w:rsid w:val="008E79A4"/>
    <w:rsid w:val="008E7CC1"/>
    <w:rsid w:val="008F0192"/>
    <w:rsid w:val="008F0AE8"/>
    <w:rsid w:val="008F188D"/>
    <w:rsid w:val="008F1992"/>
    <w:rsid w:val="008F1CE9"/>
    <w:rsid w:val="008F1DD4"/>
    <w:rsid w:val="008F3734"/>
    <w:rsid w:val="008F52C4"/>
    <w:rsid w:val="008F595C"/>
    <w:rsid w:val="008F5D23"/>
    <w:rsid w:val="008F751D"/>
    <w:rsid w:val="008F7565"/>
    <w:rsid w:val="00900B30"/>
    <w:rsid w:val="009010DC"/>
    <w:rsid w:val="009014CB"/>
    <w:rsid w:val="00901676"/>
    <w:rsid w:val="009016C8"/>
    <w:rsid w:val="00901738"/>
    <w:rsid w:val="00902121"/>
    <w:rsid w:val="00903BFB"/>
    <w:rsid w:val="00905235"/>
    <w:rsid w:val="00905DC9"/>
    <w:rsid w:val="009072D1"/>
    <w:rsid w:val="009074D5"/>
    <w:rsid w:val="00907FBE"/>
    <w:rsid w:val="00910A6F"/>
    <w:rsid w:val="00910F47"/>
    <w:rsid w:val="00912FDE"/>
    <w:rsid w:val="0091381D"/>
    <w:rsid w:val="00913EA7"/>
    <w:rsid w:val="0091436B"/>
    <w:rsid w:val="00914A42"/>
    <w:rsid w:val="00921544"/>
    <w:rsid w:val="00921556"/>
    <w:rsid w:val="0092398D"/>
    <w:rsid w:val="00923F9A"/>
    <w:rsid w:val="00924BCB"/>
    <w:rsid w:val="0093021F"/>
    <w:rsid w:val="009314B5"/>
    <w:rsid w:val="00931C70"/>
    <w:rsid w:val="00932CC4"/>
    <w:rsid w:val="0093462C"/>
    <w:rsid w:val="00934869"/>
    <w:rsid w:val="00935CD6"/>
    <w:rsid w:val="00935DAB"/>
    <w:rsid w:val="00936EC7"/>
    <w:rsid w:val="00937CAD"/>
    <w:rsid w:val="0094156A"/>
    <w:rsid w:val="00942F5B"/>
    <w:rsid w:val="0094545E"/>
    <w:rsid w:val="00946086"/>
    <w:rsid w:val="00946149"/>
    <w:rsid w:val="009467ED"/>
    <w:rsid w:val="0094701E"/>
    <w:rsid w:val="00947A16"/>
    <w:rsid w:val="00950633"/>
    <w:rsid w:val="009535F2"/>
    <w:rsid w:val="00954319"/>
    <w:rsid w:val="0095502B"/>
    <w:rsid w:val="009552C8"/>
    <w:rsid w:val="009552FC"/>
    <w:rsid w:val="00955C15"/>
    <w:rsid w:val="00957B07"/>
    <w:rsid w:val="00957CE0"/>
    <w:rsid w:val="009601EB"/>
    <w:rsid w:val="00960C76"/>
    <w:rsid w:val="00961145"/>
    <w:rsid w:val="00962045"/>
    <w:rsid w:val="00962532"/>
    <w:rsid w:val="009629D8"/>
    <w:rsid w:val="00963152"/>
    <w:rsid w:val="0096389A"/>
    <w:rsid w:val="00963F23"/>
    <w:rsid w:val="00964948"/>
    <w:rsid w:val="00966675"/>
    <w:rsid w:val="00973B61"/>
    <w:rsid w:val="0097572F"/>
    <w:rsid w:val="00976D30"/>
    <w:rsid w:val="009771B5"/>
    <w:rsid w:val="009804D8"/>
    <w:rsid w:val="0098106A"/>
    <w:rsid w:val="009825CC"/>
    <w:rsid w:val="00982B01"/>
    <w:rsid w:val="00983588"/>
    <w:rsid w:val="0098379F"/>
    <w:rsid w:val="00983C10"/>
    <w:rsid w:val="0098442B"/>
    <w:rsid w:val="00986042"/>
    <w:rsid w:val="009877AC"/>
    <w:rsid w:val="00987DD3"/>
    <w:rsid w:val="00990A41"/>
    <w:rsid w:val="0099171D"/>
    <w:rsid w:val="00991ABE"/>
    <w:rsid w:val="00992822"/>
    <w:rsid w:val="00992A6D"/>
    <w:rsid w:val="00995FF0"/>
    <w:rsid w:val="009970FC"/>
    <w:rsid w:val="00997740"/>
    <w:rsid w:val="00997876"/>
    <w:rsid w:val="009A0AB5"/>
    <w:rsid w:val="009A13A2"/>
    <w:rsid w:val="009A35D9"/>
    <w:rsid w:val="009A63F1"/>
    <w:rsid w:val="009A7867"/>
    <w:rsid w:val="009A7AE0"/>
    <w:rsid w:val="009A7DBB"/>
    <w:rsid w:val="009B1003"/>
    <w:rsid w:val="009B1182"/>
    <w:rsid w:val="009B12F4"/>
    <w:rsid w:val="009B1F33"/>
    <w:rsid w:val="009B2016"/>
    <w:rsid w:val="009B2C4C"/>
    <w:rsid w:val="009B2D8E"/>
    <w:rsid w:val="009B390E"/>
    <w:rsid w:val="009B3E13"/>
    <w:rsid w:val="009B4F3A"/>
    <w:rsid w:val="009B5105"/>
    <w:rsid w:val="009B6640"/>
    <w:rsid w:val="009B6CEA"/>
    <w:rsid w:val="009B7D4D"/>
    <w:rsid w:val="009C117E"/>
    <w:rsid w:val="009C3860"/>
    <w:rsid w:val="009C3B91"/>
    <w:rsid w:val="009C7011"/>
    <w:rsid w:val="009D1B5A"/>
    <w:rsid w:val="009D2163"/>
    <w:rsid w:val="009D28E2"/>
    <w:rsid w:val="009D3535"/>
    <w:rsid w:val="009D426C"/>
    <w:rsid w:val="009D4CCC"/>
    <w:rsid w:val="009D54D2"/>
    <w:rsid w:val="009D551A"/>
    <w:rsid w:val="009D6A58"/>
    <w:rsid w:val="009D6B2D"/>
    <w:rsid w:val="009D7283"/>
    <w:rsid w:val="009E16B3"/>
    <w:rsid w:val="009E2FA7"/>
    <w:rsid w:val="009E3F74"/>
    <w:rsid w:val="009E4860"/>
    <w:rsid w:val="009E4CE0"/>
    <w:rsid w:val="009E5546"/>
    <w:rsid w:val="009E570F"/>
    <w:rsid w:val="009E5A36"/>
    <w:rsid w:val="009E5B77"/>
    <w:rsid w:val="009E633C"/>
    <w:rsid w:val="009E6374"/>
    <w:rsid w:val="009E6FBC"/>
    <w:rsid w:val="009E7309"/>
    <w:rsid w:val="009F0435"/>
    <w:rsid w:val="009F1FA0"/>
    <w:rsid w:val="009F2CC3"/>
    <w:rsid w:val="009F314C"/>
    <w:rsid w:val="009F3AA5"/>
    <w:rsid w:val="009F43C2"/>
    <w:rsid w:val="009F4CA9"/>
    <w:rsid w:val="009F5580"/>
    <w:rsid w:val="009F7A9A"/>
    <w:rsid w:val="009F7B81"/>
    <w:rsid w:val="00A00195"/>
    <w:rsid w:val="00A00A10"/>
    <w:rsid w:val="00A01516"/>
    <w:rsid w:val="00A036D2"/>
    <w:rsid w:val="00A03935"/>
    <w:rsid w:val="00A04075"/>
    <w:rsid w:val="00A06DA6"/>
    <w:rsid w:val="00A079D6"/>
    <w:rsid w:val="00A07D6D"/>
    <w:rsid w:val="00A11C3B"/>
    <w:rsid w:val="00A12FD4"/>
    <w:rsid w:val="00A149FE"/>
    <w:rsid w:val="00A163A3"/>
    <w:rsid w:val="00A167BE"/>
    <w:rsid w:val="00A171DC"/>
    <w:rsid w:val="00A2076F"/>
    <w:rsid w:val="00A2258F"/>
    <w:rsid w:val="00A22AA1"/>
    <w:rsid w:val="00A22AB0"/>
    <w:rsid w:val="00A23F95"/>
    <w:rsid w:val="00A24F15"/>
    <w:rsid w:val="00A2552B"/>
    <w:rsid w:val="00A26053"/>
    <w:rsid w:val="00A27996"/>
    <w:rsid w:val="00A31240"/>
    <w:rsid w:val="00A31F0D"/>
    <w:rsid w:val="00A32EE0"/>
    <w:rsid w:val="00A350C0"/>
    <w:rsid w:val="00A35284"/>
    <w:rsid w:val="00A36A89"/>
    <w:rsid w:val="00A375DC"/>
    <w:rsid w:val="00A377CB"/>
    <w:rsid w:val="00A37974"/>
    <w:rsid w:val="00A37C5D"/>
    <w:rsid w:val="00A404D0"/>
    <w:rsid w:val="00A40C20"/>
    <w:rsid w:val="00A41031"/>
    <w:rsid w:val="00A41FE7"/>
    <w:rsid w:val="00A4432A"/>
    <w:rsid w:val="00A44555"/>
    <w:rsid w:val="00A45BB1"/>
    <w:rsid w:val="00A4621C"/>
    <w:rsid w:val="00A46319"/>
    <w:rsid w:val="00A46EF9"/>
    <w:rsid w:val="00A47218"/>
    <w:rsid w:val="00A5051B"/>
    <w:rsid w:val="00A50907"/>
    <w:rsid w:val="00A53B72"/>
    <w:rsid w:val="00A54E17"/>
    <w:rsid w:val="00A55C2D"/>
    <w:rsid w:val="00A56111"/>
    <w:rsid w:val="00A56A03"/>
    <w:rsid w:val="00A6172B"/>
    <w:rsid w:val="00A61883"/>
    <w:rsid w:val="00A62ED6"/>
    <w:rsid w:val="00A63002"/>
    <w:rsid w:val="00A630EB"/>
    <w:rsid w:val="00A633EE"/>
    <w:rsid w:val="00A640A1"/>
    <w:rsid w:val="00A64231"/>
    <w:rsid w:val="00A64703"/>
    <w:rsid w:val="00A660B5"/>
    <w:rsid w:val="00A66FBF"/>
    <w:rsid w:val="00A672A2"/>
    <w:rsid w:val="00A70C27"/>
    <w:rsid w:val="00A73458"/>
    <w:rsid w:val="00A73884"/>
    <w:rsid w:val="00A73F9C"/>
    <w:rsid w:val="00A75303"/>
    <w:rsid w:val="00A761C4"/>
    <w:rsid w:val="00A80862"/>
    <w:rsid w:val="00A80FF5"/>
    <w:rsid w:val="00A817DB"/>
    <w:rsid w:val="00A826A2"/>
    <w:rsid w:val="00A83600"/>
    <w:rsid w:val="00A83899"/>
    <w:rsid w:val="00A83F82"/>
    <w:rsid w:val="00A84172"/>
    <w:rsid w:val="00A84A36"/>
    <w:rsid w:val="00A85772"/>
    <w:rsid w:val="00A867AF"/>
    <w:rsid w:val="00A92A21"/>
    <w:rsid w:val="00A92A57"/>
    <w:rsid w:val="00A92F82"/>
    <w:rsid w:val="00A931BF"/>
    <w:rsid w:val="00A95093"/>
    <w:rsid w:val="00A95D51"/>
    <w:rsid w:val="00AA2957"/>
    <w:rsid w:val="00AA2C0C"/>
    <w:rsid w:val="00AA34C3"/>
    <w:rsid w:val="00AA3BDC"/>
    <w:rsid w:val="00AA4CD8"/>
    <w:rsid w:val="00AA57FA"/>
    <w:rsid w:val="00AA701B"/>
    <w:rsid w:val="00AA7389"/>
    <w:rsid w:val="00AB0714"/>
    <w:rsid w:val="00AB09B8"/>
    <w:rsid w:val="00AB36C5"/>
    <w:rsid w:val="00AB3F7C"/>
    <w:rsid w:val="00AB48C4"/>
    <w:rsid w:val="00AB7FB9"/>
    <w:rsid w:val="00AC4CC3"/>
    <w:rsid w:val="00AC6F49"/>
    <w:rsid w:val="00AC723A"/>
    <w:rsid w:val="00AC7A26"/>
    <w:rsid w:val="00AC7C78"/>
    <w:rsid w:val="00AD0900"/>
    <w:rsid w:val="00AD1319"/>
    <w:rsid w:val="00AD140B"/>
    <w:rsid w:val="00AD15A4"/>
    <w:rsid w:val="00AD1E5F"/>
    <w:rsid w:val="00AD23C6"/>
    <w:rsid w:val="00AD2E4C"/>
    <w:rsid w:val="00AD359E"/>
    <w:rsid w:val="00AD4478"/>
    <w:rsid w:val="00AD4579"/>
    <w:rsid w:val="00AD65DC"/>
    <w:rsid w:val="00AD6A59"/>
    <w:rsid w:val="00AD7045"/>
    <w:rsid w:val="00AD72F3"/>
    <w:rsid w:val="00AD7D13"/>
    <w:rsid w:val="00AE1410"/>
    <w:rsid w:val="00AE15AE"/>
    <w:rsid w:val="00AE1D47"/>
    <w:rsid w:val="00AE1D68"/>
    <w:rsid w:val="00AE27C2"/>
    <w:rsid w:val="00AE631D"/>
    <w:rsid w:val="00AE69A9"/>
    <w:rsid w:val="00AE77BA"/>
    <w:rsid w:val="00AF0B22"/>
    <w:rsid w:val="00AF1EBC"/>
    <w:rsid w:val="00AF1F6C"/>
    <w:rsid w:val="00AF2D05"/>
    <w:rsid w:val="00AF37C5"/>
    <w:rsid w:val="00AF4449"/>
    <w:rsid w:val="00AF710F"/>
    <w:rsid w:val="00AF72EE"/>
    <w:rsid w:val="00AF746C"/>
    <w:rsid w:val="00AF7B82"/>
    <w:rsid w:val="00B00409"/>
    <w:rsid w:val="00B0179E"/>
    <w:rsid w:val="00B017DD"/>
    <w:rsid w:val="00B0206E"/>
    <w:rsid w:val="00B0395C"/>
    <w:rsid w:val="00B05656"/>
    <w:rsid w:val="00B05F74"/>
    <w:rsid w:val="00B05F84"/>
    <w:rsid w:val="00B05FF4"/>
    <w:rsid w:val="00B10E54"/>
    <w:rsid w:val="00B115AC"/>
    <w:rsid w:val="00B11ACF"/>
    <w:rsid w:val="00B12514"/>
    <w:rsid w:val="00B12A8D"/>
    <w:rsid w:val="00B130D3"/>
    <w:rsid w:val="00B13127"/>
    <w:rsid w:val="00B135F8"/>
    <w:rsid w:val="00B13AD2"/>
    <w:rsid w:val="00B13D8C"/>
    <w:rsid w:val="00B14957"/>
    <w:rsid w:val="00B16D52"/>
    <w:rsid w:val="00B17A56"/>
    <w:rsid w:val="00B208ED"/>
    <w:rsid w:val="00B21DC9"/>
    <w:rsid w:val="00B232E5"/>
    <w:rsid w:val="00B23924"/>
    <w:rsid w:val="00B23ED4"/>
    <w:rsid w:val="00B24AE6"/>
    <w:rsid w:val="00B25E02"/>
    <w:rsid w:val="00B26F63"/>
    <w:rsid w:val="00B272AC"/>
    <w:rsid w:val="00B3260A"/>
    <w:rsid w:val="00B32DD1"/>
    <w:rsid w:val="00B33AB7"/>
    <w:rsid w:val="00B34EC9"/>
    <w:rsid w:val="00B34F0A"/>
    <w:rsid w:val="00B35A9F"/>
    <w:rsid w:val="00B36054"/>
    <w:rsid w:val="00B40AE9"/>
    <w:rsid w:val="00B42604"/>
    <w:rsid w:val="00B44564"/>
    <w:rsid w:val="00B44771"/>
    <w:rsid w:val="00B44A67"/>
    <w:rsid w:val="00B45C3D"/>
    <w:rsid w:val="00B469B3"/>
    <w:rsid w:val="00B46E19"/>
    <w:rsid w:val="00B47293"/>
    <w:rsid w:val="00B47FB2"/>
    <w:rsid w:val="00B51A79"/>
    <w:rsid w:val="00B51E4B"/>
    <w:rsid w:val="00B54917"/>
    <w:rsid w:val="00B54C7E"/>
    <w:rsid w:val="00B56DA7"/>
    <w:rsid w:val="00B5766F"/>
    <w:rsid w:val="00B576FB"/>
    <w:rsid w:val="00B60538"/>
    <w:rsid w:val="00B62441"/>
    <w:rsid w:val="00B62A90"/>
    <w:rsid w:val="00B63AB5"/>
    <w:rsid w:val="00B63E36"/>
    <w:rsid w:val="00B6423F"/>
    <w:rsid w:val="00B64415"/>
    <w:rsid w:val="00B64B58"/>
    <w:rsid w:val="00B64EB9"/>
    <w:rsid w:val="00B65A46"/>
    <w:rsid w:val="00B66080"/>
    <w:rsid w:val="00B661DA"/>
    <w:rsid w:val="00B676AB"/>
    <w:rsid w:val="00B678DF"/>
    <w:rsid w:val="00B67C54"/>
    <w:rsid w:val="00B7179C"/>
    <w:rsid w:val="00B71836"/>
    <w:rsid w:val="00B72EA3"/>
    <w:rsid w:val="00B74315"/>
    <w:rsid w:val="00B761B3"/>
    <w:rsid w:val="00B80FFB"/>
    <w:rsid w:val="00B81710"/>
    <w:rsid w:val="00B8254C"/>
    <w:rsid w:val="00B82E3A"/>
    <w:rsid w:val="00B84EB6"/>
    <w:rsid w:val="00B85920"/>
    <w:rsid w:val="00B87B01"/>
    <w:rsid w:val="00B90F1E"/>
    <w:rsid w:val="00B9328F"/>
    <w:rsid w:val="00B932F1"/>
    <w:rsid w:val="00B93C71"/>
    <w:rsid w:val="00B95307"/>
    <w:rsid w:val="00B9794A"/>
    <w:rsid w:val="00BA1E42"/>
    <w:rsid w:val="00BA215E"/>
    <w:rsid w:val="00BA24E6"/>
    <w:rsid w:val="00BA34CB"/>
    <w:rsid w:val="00BA4700"/>
    <w:rsid w:val="00BA75D4"/>
    <w:rsid w:val="00BA770E"/>
    <w:rsid w:val="00BA781A"/>
    <w:rsid w:val="00BA78D9"/>
    <w:rsid w:val="00BB0246"/>
    <w:rsid w:val="00BB126C"/>
    <w:rsid w:val="00BB338A"/>
    <w:rsid w:val="00BB3DFE"/>
    <w:rsid w:val="00BB49BD"/>
    <w:rsid w:val="00BB4F1D"/>
    <w:rsid w:val="00BB5135"/>
    <w:rsid w:val="00BB5BA7"/>
    <w:rsid w:val="00BB5F87"/>
    <w:rsid w:val="00BB7280"/>
    <w:rsid w:val="00BB75DC"/>
    <w:rsid w:val="00BC0900"/>
    <w:rsid w:val="00BC3256"/>
    <w:rsid w:val="00BC35A5"/>
    <w:rsid w:val="00BC3FEA"/>
    <w:rsid w:val="00BC49C4"/>
    <w:rsid w:val="00BC4CD6"/>
    <w:rsid w:val="00BC4EE4"/>
    <w:rsid w:val="00BC58E8"/>
    <w:rsid w:val="00BC5C5D"/>
    <w:rsid w:val="00BC70FC"/>
    <w:rsid w:val="00BC7505"/>
    <w:rsid w:val="00BD09E5"/>
    <w:rsid w:val="00BD0C91"/>
    <w:rsid w:val="00BD1674"/>
    <w:rsid w:val="00BD1B8D"/>
    <w:rsid w:val="00BD2BED"/>
    <w:rsid w:val="00BD33C8"/>
    <w:rsid w:val="00BD416D"/>
    <w:rsid w:val="00BD4172"/>
    <w:rsid w:val="00BD41CD"/>
    <w:rsid w:val="00BD689F"/>
    <w:rsid w:val="00BD74C0"/>
    <w:rsid w:val="00BD75F9"/>
    <w:rsid w:val="00BD7CC8"/>
    <w:rsid w:val="00BD7F24"/>
    <w:rsid w:val="00BE0F8E"/>
    <w:rsid w:val="00BE14FF"/>
    <w:rsid w:val="00BE1D6E"/>
    <w:rsid w:val="00BE2E46"/>
    <w:rsid w:val="00BE33CE"/>
    <w:rsid w:val="00BE3470"/>
    <w:rsid w:val="00BE3834"/>
    <w:rsid w:val="00BE523B"/>
    <w:rsid w:val="00BE6BA2"/>
    <w:rsid w:val="00BF0F98"/>
    <w:rsid w:val="00BF1A73"/>
    <w:rsid w:val="00BF1AE9"/>
    <w:rsid w:val="00BF1EB0"/>
    <w:rsid w:val="00BF3310"/>
    <w:rsid w:val="00BF3E8B"/>
    <w:rsid w:val="00BF42A9"/>
    <w:rsid w:val="00BF5651"/>
    <w:rsid w:val="00BF7EB8"/>
    <w:rsid w:val="00C0075C"/>
    <w:rsid w:val="00C01918"/>
    <w:rsid w:val="00C02145"/>
    <w:rsid w:val="00C028A0"/>
    <w:rsid w:val="00C02DCD"/>
    <w:rsid w:val="00C03244"/>
    <w:rsid w:val="00C035EC"/>
    <w:rsid w:val="00C04693"/>
    <w:rsid w:val="00C06F0E"/>
    <w:rsid w:val="00C07203"/>
    <w:rsid w:val="00C07A44"/>
    <w:rsid w:val="00C07D8B"/>
    <w:rsid w:val="00C110C7"/>
    <w:rsid w:val="00C11CEB"/>
    <w:rsid w:val="00C1268A"/>
    <w:rsid w:val="00C171F9"/>
    <w:rsid w:val="00C17F88"/>
    <w:rsid w:val="00C20323"/>
    <w:rsid w:val="00C209A5"/>
    <w:rsid w:val="00C25CB7"/>
    <w:rsid w:val="00C26587"/>
    <w:rsid w:val="00C27A4A"/>
    <w:rsid w:val="00C31894"/>
    <w:rsid w:val="00C31AD7"/>
    <w:rsid w:val="00C31C27"/>
    <w:rsid w:val="00C323CC"/>
    <w:rsid w:val="00C337AD"/>
    <w:rsid w:val="00C34656"/>
    <w:rsid w:val="00C34912"/>
    <w:rsid w:val="00C34FBF"/>
    <w:rsid w:val="00C35EFE"/>
    <w:rsid w:val="00C3608D"/>
    <w:rsid w:val="00C361D7"/>
    <w:rsid w:val="00C362C1"/>
    <w:rsid w:val="00C3662C"/>
    <w:rsid w:val="00C400AD"/>
    <w:rsid w:val="00C4242B"/>
    <w:rsid w:val="00C42847"/>
    <w:rsid w:val="00C436DE"/>
    <w:rsid w:val="00C44D59"/>
    <w:rsid w:val="00C450ED"/>
    <w:rsid w:val="00C4583A"/>
    <w:rsid w:val="00C45B85"/>
    <w:rsid w:val="00C477DE"/>
    <w:rsid w:val="00C5107B"/>
    <w:rsid w:val="00C514A6"/>
    <w:rsid w:val="00C5304B"/>
    <w:rsid w:val="00C547E4"/>
    <w:rsid w:val="00C55E0E"/>
    <w:rsid w:val="00C56C62"/>
    <w:rsid w:val="00C57C83"/>
    <w:rsid w:val="00C60AEE"/>
    <w:rsid w:val="00C62E67"/>
    <w:rsid w:val="00C637F5"/>
    <w:rsid w:val="00C65B14"/>
    <w:rsid w:val="00C661D9"/>
    <w:rsid w:val="00C66870"/>
    <w:rsid w:val="00C6733F"/>
    <w:rsid w:val="00C67911"/>
    <w:rsid w:val="00C67EAF"/>
    <w:rsid w:val="00C7094A"/>
    <w:rsid w:val="00C71C83"/>
    <w:rsid w:val="00C72A28"/>
    <w:rsid w:val="00C72B4D"/>
    <w:rsid w:val="00C739BD"/>
    <w:rsid w:val="00C75313"/>
    <w:rsid w:val="00C765F0"/>
    <w:rsid w:val="00C768ED"/>
    <w:rsid w:val="00C772EA"/>
    <w:rsid w:val="00C77B17"/>
    <w:rsid w:val="00C80DE1"/>
    <w:rsid w:val="00C81092"/>
    <w:rsid w:val="00C81A79"/>
    <w:rsid w:val="00C8215D"/>
    <w:rsid w:val="00C8299F"/>
    <w:rsid w:val="00C84074"/>
    <w:rsid w:val="00C8421C"/>
    <w:rsid w:val="00C84C3D"/>
    <w:rsid w:val="00C85168"/>
    <w:rsid w:val="00C85A7B"/>
    <w:rsid w:val="00C85CB7"/>
    <w:rsid w:val="00C87EEF"/>
    <w:rsid w:val="00C90091"/>
    <w:rsid w:val="00C91F97"/>
    <w:rsid w:val="00C93DF5"/>
    <w:rsid w:val="00C942AA"/>
    <w:rsid w:val="00C942DF"/>
    <w:rsid w:val="00C94362"/>
    <w:rsid w:val="00C94B11"/>
    <w:rsid w:val="00C9645F"/>
    <w:rsid w:val="00CA0E69"/>
    <w:rsid w:val="00CA1298"/>
    <w:rsid w:val="00CA1FE6"/>
    <w:rsid w:val="00CA23F4"/>
    <w:rsid w:val="00CA2843"/>
    <w:rsid w:val="00CA2A4C"/>
    <w:rsid w:val="00CA2BD8"/>
    <w:rsid w:val="00CA2F62"/>
    <w:rsid w:val="00CA5525"/>
    <w:rsid w:val="00CA682D"/>
    <w:rsid w:val="00CA6D20"/>
    <w:rsid w:val="00CA6E29"/>
    <w:rsid w:val="00CB067B"/>
    <w:rsid w:val="00CB06D9"/>
    <w:rsid w:val="00CB070D"/>
    <w:rsid w:val="00CB0DE0"/>
    <w:rsid w:val="00CB24A5"/>
    <w:rsid w:val="00CB2830"/>
    <w:rsid w:val="00CB32C7"/>
    <w:rsid w:val="00CB5364"/>
    <w:rsid w:val="00CB5B65"/>
    <w:rsid w:val="00CB5DBD"/>
    <w:rsid w:val="00CB5FD1"/>
    <w:rsid w:val="00CB6D1D"/>
    <w:rsid w:val="00CC0510"/>
    <w:rsid w:val="00CC069F"/>
    <w:rsid w:val="00CC1B7E"/>
    <w:rsid w:val="00CC2BB7"/>
    <w:rsid w:val="00CC3A22"/>
    <w:rsid w:val="00CC4AAA"/>
    <w:rsid w:val="00CC4F00"/>
    <w:rsid w:val="00CC5084"/>
    <w:rsid w:val="00CC7915"/>
    <w:rsid w:val="00CD0EAE"/>
    <w:rsid w:val="00CD14C4"/>
    <w:rsid w:val="00CD17D1"/>
    <w:rsid w:val="00CD1C97"/>
    <w:rsid w:val="00CD2093"/>
    <w:rsid w:val="00CD2592"/>
    <w:rsid w:val="00CD2D1A"/>
    <w:rsid w:val="00CD2DE0"/>
    <w:rsid w:val="00CD3987"/>
    <w:rsid w:val="00CD39C2"/>
    <w:rsid w:val="00CD438C"/>
    <w:rsid w:val="00CD56E4"/>
    <w:rsid w:val="00CD7964"/>
    <w:rsid w:val="00CD7E42"/>
    <w:rsid w:val="00CE0670"/>
    <w:rsid w:val="00CE0F35"/>
    <w:rsid w:val="00CE18C1"/>
    <w:rsid w:val="00CE1900"/>
    <w:rsid w:val="00CE1A66"/>
    <w:rsid w:val="00CE1E02"/>
    <w:rsid w:val="00CE44FA"/>
    <w:rsid w:val="00CE45DB"/>
    <w:rsid w:val="00CE5926"/>
    <w:rsid w:val="00CE6F17"/>
    <w:rsid w:val="00CE711F"/>
    <w:rsid w:val="00CF1913"/>
    <w:rsid w:val="00CF4B1F"/>
    <w:rsid w:val="00CF500C"/>
    <w:rsid w:val="00CF5977"/>
    <w:rsid w:val="00CF5C4A"/>
    <w:rsid w:val="00CF5E45"/>
    <w:rsid w:val="00CF666B"/>
    <w:rsid w:val="00CF75E4"/>
    <w:rsid w:val="00CF7FD7"/>
    <w:rsid w:val="00D0044E"/>
    <w:rsid w:val="00D0128D"/>
    <w:rsid w:val="00D013DB"/>
    <w:rsid w:val="00D02673"/>
    <w:rsid w:val="00D02F7C"/>
    <w:rsid w:val="00D03E08"/>
    <w:rsid w:val="00D0458D"/>
    <w:rsid w:val="00D04CFA"/>
    <w:rsid w:val="00D0704B"/>
    <w:rsid w:val="00D07B13"/>
    <w:rsid w:val="00D100FB"/>
    <w:rsid w:val="00D10336"/>
    <w:rsid w:val="00D11AEC"/>
    <w:rsid w:val="00D12425"/>
    <w:rsid w:val="00D1255F"/>
    <w:rsid w:val="00D127A3"/>
    <w:rsid w:val="00D12B33"/>
    <w:rsid w:val="00D131B2"/>
    <w:rsid w:val="00D133B1"/>
    <w:rsid w:val="00D149B3"/>
    <w:rsid w:val="00D17F09"/>
    <w:rsid w:val="00D17F31"/>
    <w:rsid w:val="00D201FB"/>
    <w:rsid w:val="00D2040B"/>
    <w:rsid w:val="00D204E6"/>
    <w:rsid w:val="00D205ED"/>
    <w:rsid w:val="00D20F14"/>
    <w:rsid w:val="00D21289"/>
    <w:rsid w:val="00D23F95"/>
    <w:rsid w:val="00D263B9"/>
    <w:rsid w:val="00D26CEF"/>
    <w:rsid w:val="00D276A8"/>
    <w:rsid w:val="00D27A0D"/>
    <w:rsid w:val="00D27CFA"/>
    <w:rsid w:val="00D30E4B"/>
    <w:rsid w:val="00D31154"/>
    <w:rsid w:val="00D318AA"/>
    <w:rsid w:val="00D322F3"/>
    <w:rsid w:val="00D325DE"/>
    <w:rsid w:val="00D32A3C"/>
    <w:rsid w:val="00D334E1"/>
    <w:rsid w:val="00D357CD"/>
    <w:rsid w:val="00D359DD"/>
    <w:rsid w:val="00D3714C"/>
    <w:rsid w:val="00D37C54"/>
    <w:rsid w:val="00D40138"/>
    <w:rsid w:val="00D407FF"/>
    <w:rsid w:val="00D40ECC"/>
    <w:rsid w:val="00D425EB"/>
    <w:rsid w:val="00D43F73"/>
    <w:rsid w:val="00D446FC"/>
    <w:rsid w:val="00D4642F"/>
    <w:rsid w:val="00D46C1A"/>
    <w:rsid w:val="00D46F2B"/>
    <w:rsid w:val="00D46F6D"/>
    <w:rsid w:val="00D470EE"/>
    <w:rsid w:val="00D500D1"/>
    <w:rsid w:val="00D50154"/>
    <w:rsid w:val="00D5023E"/>
    <w:rsid w:val="00D50806"/>
    <w:rsid w:val="00D51101"/>
    <w:rsid w:val="00D51EE9"/>
    <w:rsid w:val="00D52418"/>
    <w:rsid w:val="00D56869"/>
    <w:rsid w:val="00D570E0"/>
    <w:rsid w:val="00D57E16"/>
    <w:rsid w:val="00D61A29"/>
    <w:rsid w:val="00D61ED9"/>
    <w:rsid w:val="00D62D39"/>
    <w:rsid w:val="00D62D9B"/>
    <w:rsid w:val="00D63B51"/>
    <w:rsid w:val="00D64EF1"/>
    <w:rsid w:val="00D65D9B"/>
    <w:rsid w:val="00D66A48"/>
    <w:rsid w:val="00D66C6B"/>
    <w:rsid w:val="00D674D8"/>
    <w:rsid w:val="00D67EDF"/>
    <w:rsid w:val="00D722EB"/>
    <w:rsid w:val="00D7282F"/>
    <w:rsid w:val="00D72C5E"/>
    <w:rsid w:val="00D72E0A"/>
    <w:rsid w:val="00D7478B"/>
    <w:rsid w:val="00D7520F"/>
    <w:rsid w:val="00D807F1"/>
    <w:rsid w:val="00D84AC4"/>
    <w:rsid w:val="00D908C8"/>
    <w:rsid w:val="00D909B2"/>
    <w:rsid w:val="00D90C57"/>
    <w:rsid w:val="00D9406F"/>
    <w:rsid w:val="00D94441"/>
    <w:rsid w:val="00D94EA5"/>
    <w:rsid w:val="00D9724C"/>
    <w:rsid w:val="00DA0A5C"/>
    <w:rsid w:val="00DA2372"/>
    <w:rsid w:val="00DA33AE"/>
    <w:rsid w:val="00DA594B"/>
    <w:rsid w:val="00DA6F0F"/>
    <w:rsid w:val="00DA7291"/>
    <w:rsid w:val="00DB47EE"/>
    <w:rsid w:val="00DB493F"/>
    <w:rsid w:val="00DB5C16"/>
    <w:rsid w:val="00DB5C19"/>
    <w:rsid w:val="00DB5C58"/>
    <w:rsid w:val="00DB60CD"/>
    <w:rsid w:val="00DB72ED"/>
    <w:rsid w:val="00DB773B"/>
    <w:rsid w:val="00DB7AEE"/>
    <w:rsid w:val="00DC0115"/>
    <w:rsid w:val="00DC03FF"/>
    <w:rsid w:val="00DC2D94"/>
    <w:rsid w:val="00DC543F"/>
    <w:rsid w:val="00DC5BCD"/>
    <w:rsid w:val="00DC6358"/>
    <w:rsid w:val="00DC64CC"/>
    <w:rsid w:val="00DD08EC"/>
    <w:rsid w:val="00DD092E"/>
    <w:rsid w:val="00DD1112"/>
    <w:rsid w:val="00DD1A74"/>
    <w:rsid w:val="00DD1B91"/>
    <w:rsid w:val="00DD1E14"/>
    <w:rsid w:val="00DD5310"/>
    <w:rsid w:val="00DD56EC"/>
    <w:rsid w:val="00DD6921"/>
    <w:rsid w:val="00DD6D29"/>
    <w:rsid w:val="00DD6DA2"/>
    <w:rsid w:val="00DD71B6"/>
    <w:rsid w:val="00DE04AF"/>
    <w:rsid w:val="00DE0919"/>
    <w:rsid w:val="00DE0AC6"/>
    <w:rsid w:val="00DE222A"/>
    <w:rsid w:val="00DE33C6"/>
    <w:rsid w:val="00DE3EAA"/>
    <w:rsid w:val="00DE42FE"/>
    <w:rsid w:val="00DE4AD5"/>
    <w:rsid w:val="00DE4B6A"/>
    <w:rsid w:val="00DE63D0"/>
    <w:rsid w:val="00DE681B"/>
    <w:rsid w:val="00DE7765"/>
    <w:rsid w:val="00DE7A1D"/>
    <w:rsid w:val="00DF17FF"/>
    <w:rsid w:val="00DF1A6D"/>
    <w:rsid w:val="00DF1F01"/>
    <w:rsid w:val="00DF6158"/>
    <w:rsid w:val="00DF69F1"/>
    <w:rsid w:val="00DF7FB4"/>
    <w:rsid w:val="00E0053A"/>
    <w:rsid w:val="00E00B74"/>
    <w:rsid w:val="00E01313"/>
    <w:rsid w:val="00E04A8F"/>
    <w:rsid w:val="00E05292"/>
    <w:rsid w:val="00E056D7"/>
    <w:rsid w:val="00E05D58"/>
    <w:rsid w:val="00E0609A"/>
    <w:rsid w:val="00E064DE"/>
    <w:rsid w:val="00E069B1"/>
    <w:rsid w:val="00E10336"/>
    <w:rsid w:val="00E105B1"/>
    <w:rsid w:val="00E10F65"/>
    <w:rsid w:val="00E11A55"/>
    <w:rsid w:val="00E11E2C"/>
    <w:rsid w:val="00E13991"/>
    <w:rsid w:val="00E13C8A"/>
    <w:rsid w:val="00E14AA4"/>
    <w:rsid w:val="00E15E67"/>
    <w:rsid w:val="00E20508"/>
    <w:rsid w:val="00E20876"/>
    <w:rsid w:val="00E215EA"/>
    <w:rsid w:val="00E21AEB"/>
    <w:rsid w:val="00E21BC5"/>
    <w:rsid w:val="00E235E5"/>
    <w:rsid w:val="00E23B19"/>
    <w:rsid w:val="00E23C06"/>
    <w:rsid w:val="00E24D9F"/>
    <w:rsid w:val="00E24EDA"/>
    <w:rsid w:val="00E2711B"/>
    <w:rsid w:val="00E3013B"/>
    <w:rsid w:val="00E30A57"/>
    <w:rsid w:val="00E31637"/>
    <w:rsid w:val="00E32016"/>
    <w:rsid w:val="00E32102"/>
    <w:rsid w:val="00E32A22"/>
    <w:rsid w:val="00E338B1"/>
    <w:rsid w:val="00E3416E"/>
    <w:rsid w:val="00E34413"/>
    <w:rsid w:val="00E3547D"/>
    <w:rsid w:val="00E35717"/>
    <w:rsid w:val="00E37F0C"/>
    <w:rsid w:val="00E42F9E"/>
    <w:rsid w:val="00E45018"/>
    <w:rsid w:val="00E45922"/>
    <w:rsid w:val="00E46440"/>
    <w:rsid w:val="00E5002D"/>
    <w:rsid w:val="00E524A9"/>
    <w:rsid w:val="00E552A4"/>
    <w:rsid w:val="00E553AF"/>
    <w:rsid w:val="00E55B4D"/>
    <w:rsid w:val="00E55ECA"/>
    <w:rsid w:val="00E5603D"/>
    <w:rsid w:val="00E56A12"/>
    <w:rsid w:val="00E56EBE"/>
    <w:rsid w:val="00E57352"/>
    <w:rsid w:val="00E612F0"/>
    <w:rsid w:val="00E633E7"/>
    <w:rsid w:val="00E648C1"/>
    <w:rsid w:val="00E64A9F"/>
    <w:rsid w:val="00E6530B"/>
    <w:rsid w:val="00E65312"/>
    <w:rsid w:val="00E662C4"/>
    <w:rsid w:val="00E72B18"/>
    <w:rsid w:val="00E72DC6"/>
    <w:rsid w:val="00E72EDE"/>
    <w:rsid w:val="00E7401D"/>
    <w:rsid w:val="00E75415"/>
    <w:rsid w:val="00E75AF6"/>
    <w:rsid w:val="00E76233"/>
    <w:rsid w:val="00E7648A"/>
    <w:rsid w:val="00E77911"/>
    <w:rsid w:val="00E8188A"/>
    <w:rsid w:val="00E81CF0"/>
    <w:rsid w:val="00E81D03"/>
    <w:rsid w:val="00E83DA0"/>
    <w:rsid w:val="00E83FC8"/>
    <w:rsid w:val="00E849AB"/>
    <w:rsid w:val="00E84C69"/>
    <w:rsid w:val="00E85661"/>
    <w:rsid w:val="00E857D5"/>
    <w:rsid w:val="00E861AF"/>
    <w:rsid w:val="00E87590"/>
    <w:rsid w:val="00E879DB"/>
    <w:rsid w:val="00E906C2"/>
    <w:rsid w:val="00E90F9F"/>
    <w:rsid w:val="00E92FDD"/>
    <w:rsid w:val="00E93195"/>
    <w:rsid w:val="00E93F75"/>
    <w:rsid w:val="00E95A0A"/>
    <w:rsid w:val="00E96B6D"/>
    <w:rsid w:val="00E97A44"/>
    <w:rsid w:val="00E97DD9"/>
    <w:rsid w:val="00EA0281"/>
    <w:rsid w:val="00EA12F0"/>
    <w:rsid w:val="00EA19C3"/>
    <w:rsid w:val="00EA1F07"/>
    <w:rsid w:val="00EA384D"/>
    <w:rsid w:val="00EA4169"/>
    <w:rsid w:val="00EA42D6"/>
    <w:rsid w:val="00EA4498"/>
    <w:rsid w:val="00EA6626"/>
    <w:rsid w:val="00EA6781"/>
    <w:rsid w:val="00EA69E5"/>
    <w:rsid w:val="00EA7432"/>
    <w:rsid w:val="00EB35E8"/>
    <w:rsid w:val="00EB4496"/>
    <w:rsid w:val="00EB766F"/>
    <w:rsid w:val="00EC078E"/>
    <w:rsid w:val="00EC25B5"/>
    <w:rsid w:val="00EC260F"/>
    <w:rsid w:val="00EC305A"/>
    <w:rsid w:val="00EC3159"/>
    <w:rsid w:val="00EC31CB"/>
    <w:rsid w:val="00EC3340"/>
    <w:rsid w:val="00EC3BC6"/>
    <w:rsid w:val="00EC3E51"/>
    <w:rsid w:val="00EC4340"/>
    <w:rsid w:val="00EC46C9"/>
    <w:rsid w:val="00EC69CC"/>
    <w:rsid w:val="00EC6C23"/>
    <w:rsid w:val="00ED083B"/>
    <w:rsid w:val="00ED225B"/>
    <w:rsid w:val="00ED5A23"/>
    <w:rsid w:val="00ED5A9D"/>
    <w:rsid w:val="00ED680A"/>
    <w:rsid w:val="00ED69E7"/>
    <w:rsid w:val="00EE026A"/>
    <w:rsid w:val="00EE0284"/>
    <w:rsid w:val="00EE12D7"/>
    <w:rsid w:val="00EE1BDF"/>
    <w:rsid w:val="00EE28EC"/>
    <w:rsid w:val="00EE5109"/>
    <w:rsid w:val="00EE524D"/>
    <w:rsid w:val="00EE583B"/>
    <w:rsid w:val="00EE5857"/>
    <w:rsid w:val="00EE5A88"/>
    <w:rsid w:val="00EE6047"/>
    <w:rsid w:val="00EF1A0B"/>
    <w:rsid w:val="00EF26B2"/>
    <w:rsid w:val="00EF2D4B"/>
    <w:rsid w:val="00EF31C6"/>
    <w:rsid w:val="00EF3644"/>
    <w:rsid w:val="00EF377F"/>
    <w:rsid w:val="00EF3E86"/>
    <w:rsid w:val="00EF464C"/>
    <w:rsid w:val="00EF688E"/>
    <w:rsid w:val="00EF6A46"/>
    <w:rsid w:val="00EF6EA1"/>
    <w:rsid w:val="00F005AC"/>
    <w:rsid w:val="00F00746"/>
    <w:rsid w:val="00F02028"/>
    <w:rsid w:val="00F04C82"/>
    <w:rsid w:val="00F10A5F"/>
    <w:rsid w:val="00F1107C"/>
    <w:rsid w:val="00F13110"/>
    <w:rsid w:val="00F1336B"/>
    <w:rsid w:val="00F1340B"/>
    <w:rsid w:val="00F135BD"/>
    <w:rsid w:val="00F139AC"/>
    <w:rsid w:val="00F13A1E"/>
    <w:rsid w:val="00F1407A"/>
    <w:rsid w:val="00F14FAB"/>
    <w:rsid w:val="00F152AD"/>
    <w:rsid w:val="00F16920"/>
    <w:rsid w:val="00F21046"/>
    <w:rsid w:val="00F216F1"/>
    <w:rsid w:val="00F22BB6"/>
    <w:rsid w:val="00F22D29"/>
    <w:rsid w:val="00F23A6F"/>
    <w:rsid w:val="00F23F51"/>
    <w:rsid w:val="00F248B2"/>
    <w:rsid w:val="00F274F6"/>
    <w:rsid w:val="00F275BF"/>
    <w:rsid w:val="00F317EB"/>
    <w:rsid w:val="00F3183F"/>
    <w:rsid w:val="00F32DF1"/>
    <w:rsid w:val="00F331BC"/>
    <w:rsid w:val="00F34404"/>
    <w:rsid w:val="00F3478E"/>
    <w:rsid w:val="00F3560D"/>
    <w:rsid w:val="00F36125"/>
    <w:rsid w:val="00F361AE"/>
    <w:rsid w:val="00F36D4C"/>
    <w:rsid w:val="00F3775B"/>
    <w:rsid w:val="00F37CC2"/>
    <w:rsid w:val="00F37D63"/>
    <w:rsid w:val="00F424ED"/>
    <w:rsid w:val="00F44D42"/>
    <w:rsid w:val="00F44EE6"/>
    <w:rsid w:val="00F44FFD"/>
    <w:rsid w:val="00F4562E"/>
    <w:rsid w:val="00F5064D"/>
    <w:rsid w:val="00F509E0"/>
    <w:rsid w:val="00F5195D"/>
    <w:rsid w:val="00F51B1D"/>
    <w:rsid w:val="00F52411"/>
    <w:rsid w:val="00F538A8"/>
    <w:rsid w:val="00F53B31"/>
    <w:rsid w:val="00F53F67"/>
    <w:rsid w:val="00F55998"/>
    <w:rsid w:val="00F56326"/>
    <w:rsid w:val="00F578FD"/>
    <w:rsid w:val="00F61015"/>
    <w:rsid w:val="00F62291"/>
    <w:rsid w:val="00F62FB1"/>
    <w:rsid w:val="00F63DA0"/>
    <w:rsid w:val="00F64B44"/>
    <w:rsid w:val="00F653EC"/>
    <w:rsid w:val="00F66413"/>
    <w:rsid w:val="00F6641D"/>
    <w:rsid w:val="00F6701E"/>
    <w:rsid w:val="00F678FD"/>
    <w:rsid w:val="00F717D0"/>
    <w:rsid w:val="00F71B3B"/>
    <w:rsid w:val="00F72066"/>
    <w:rsid w:val="00F72A5C"/>
    <w:rsid w:val="00F74347"/>
    <w:rsid w:val="00F7748B"/>
    <w:rsid w:val="00F812EE"/>
    <w:rsid w:val="00F8340A"/>
    <w:rsid w:val="00F83E89"/>
    <w:rsid w:val="00F8443A"/>
    <w:rsid w:val="00F861E0"/>
    <w:rsid w:val="00F86334"/>
    <w:rsid w:val="00F86C0E"/>
    <w:rsid w:val="00F9039E"/>
    <w:rsid w:val="00F904EA"/>
    <w:rsid w:val="00F909E2"/>
    <w:rsid w:val="00F94CEF"/>
    <w:rsid w:val="00F957E3"/>
    <w:rsid w:val="00F96434"/>
    <w:rsid w:val="00FA014C"/>
    <w:rsid w:val="00FA0475"/>
    <w:rsid w:val="00FA0899"/>
    <w:rsid w:val="00FA09F7"/>
    <w:rsid w:val="00FA0DE5"/>
    <w:rsid w:val="00FA146E"/>
    <w:rsid w:val="00FA319F"/>
    <w:rsid w:val="00FA4B35"/>
    <w:rsid w:val="00FA5076"/>
    <w:rsid w:val="00FA5127"/>
    <w:rsid w:val="00FA513F"/>
    <w:rsid w:val="00FA60EA"/>
    <w:rsid w:val="00FA62B6"/>
    <w:rsid w:val="00FA6FC8"/>
    <w:rsid w:val="00FA7A87"/>
    <w:rsid w:val="00FA7BB4"/>
    <w:rsid w:val="00FA7C1E"/>
    <w:rsid w:val="00FB1764"/>
    <w:rsid w:val="00FB1CB5"/>
    <w:rsid w:val="00FB1DA2"/>
    <w:rsid w:val="00FB260A"/>
    <w:rsid w:val="00FB26F2"/>
    <w:rsid w:val="00FB26FE"/>
    <w:rsid w:val="00FB2715"/>
    <w:rsid w:val="00FB3EE9"/>
    <w:rsid w:val="00FB47CB"/>
    <w:rsid w:val="00FB4AFD"/>
    <w:rsid w:val="00FB5095"/>
    <w:rsid w:val="00FB5214"/>
    <w:rsid w:val="00FB52D5"/>
    <w:rsid w:val="00FB58E5"/>
    <w:rsid w:val="00FB65E2"/>
    <w:rsid w:val="00FB67C6"/>
    <w:rsid w:val="00FB7A5D"/>
    <w:rsid w:val="00FC0039"/>
    <w:rsid w:val="00FC11A1"/>
    <w:rsid w:val="00FC1878"/>
    <w:rsid w:val="00FC1DC6"/>
    <w:rsid w:val="00FC1F7F"/>
    <w:rsid w:val="00FC28F1"/>
    <w:rsid w:val="00FC3177"/>
    <w:rsid w:val="00FC412B"/>
    <w:rsid w:val="00FC4F3E"/>
    <w:rsid w:val="00FC516D"/>
    <w:rsid w:val="00FC51B1"/>
    <w:rsid w:val="00FC6DD1"/>
    <w:rsid w:val="00FC75CF"/>
    <w:rsid w:val="00FC7950"/>
    <w:rsid w:val="00FC7ADC"/>
    <w:rsid w:val="00FD0507"/>
    <w:rsid w:val="00FD07C4"/>
    <w:rsid w:val="00FD12E3"/>
    <w:rsid w:val="00FD343A"/>
    <w:rsid w:val="00FD4037"/>
    <w:rsid w:val="00FD425D"/>
    <w:rsid w:val="00FD426F"/>
    <w:rsid w:val="00FD4D9B"/>
    <w:rsid w:val="00FD5611"/>
    <w:rsid w:val="00FD5A17"/>
    <w:rsid w:val="00FD5BBD"/>
    <w:rsid w:val="00FD66A8"/>
    <w:rsid w:val="00FD7E42"/>
    <w:rsid w:val="00FE0549"/>
    <w:rsid w:val="00FE1214"/>
    <w:rsid w:val="00FE14FB"/>
    <w:rsid w:val="00FE15DA"/>
    <w:rsid w:val="00FE1A70"/>
    <w:rsid w:val="00FE1CA3"/>
    <w:rsid w:val="00FE1DBD"/>
    <w:rsid w:val="00FE2466"/>
    <w:rsid w:val="00FE2476"/>
    <w:rsid w:val="00FE2945"/>
    <w:rsid w:val="00FE2B22"/>
    <w:rsid w:val="00FE3016"/>
    <w:rsid w:val="00FE318D"/>
    <w:rsid w:val="00FE39B1"/>
    <w:rsid w:val="00FE4071"/>
    <w:rsid w:val="00FE4078"/>
    <w:rsid w:val="00FE5D2C"/>
    <w:rsid w:val="00FE5F53"/>
    <w:rsid w:val="00FE72DB"/>
    <w:rsid w:val="00FE75F4"/>
    <w:rsid w:val="00FF06FB"/>
    <w:rsid w:val="00FF2C32"/>
    <w:rsid w:val="00FF3473"/>
    <w:rsid w:val="00FF5BD6"/>
    <w:rsid w:val="00FF6CE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60A8-9206-48BD-BB53-5DB2377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ED8"/>
    <w:rPr>
      <w:color w:val="0563C1" w:themeColor="hyperlink"/>
      <w:u w:val="single"/>
    </w:rPr>
  </w:style>
  <w:style w:type="character" w:styleId="FollowedHyperlink">
    <w:name w:val="FollowedHyperlink"/>
    <w:basedOn w:val="DefaultParagraphFont"/>
    <w:uiPriority w:val="99"/>
    <w:semiHidden/>
    <w:unhideWhenUsed/>
    <w:rsid w:val="00741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gonline.com/ASEANsummit"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cid:image006.png@01D1124B.66321360" TargetMode="External"/><Relationship Id="rId7" Type="http://schemas.openxmlformats.org/officeDocument/2006/relationships/image" Target="cid:image002.gif@01D1124B.66321360" TargetMode="External"/><Relationship Id="rId12" Type="http://schemas.openxmlformats.org/officeDocument/2006/relationships/hyperlink" Target="mailto:colin.carter@thomsonreuters.com" TargetMode="External"/><Relationship Id="rId17" Type="http://schemas.openxmlformats.org/officeDocument/2006/relationships/image" Target="cid:image004.png@01D1124B.6632136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info.accelus.thomsonreuters.com/asean-summit-register?cid=ASEANBANKERS" TargetMode="External"/><Relationship Id="rId5" Type="http://schemas.openxmlformats.org/officeDocument/2006/relationships/hyperlink" Target="http://thomsonreuters.com/" TargetMode="External"/><Relationship Id="rId15" Type="http://schemas.openxmlformats.org/officeDocument/2006/relationships/hyperlink" Target="http://thomsonreuters.com/" TargetMode="External"/><Relationship Id="rId23" Type="http://schemas.openxmlformats.org/officeDocument/2006/relationships/theme" Target="theme/theme1.xml"/><Relationship Id="rId10" Type="http://schemas.openxmlformats.org/officeDocument/2006/relationships/hyperlink" Target="mailto:colin.carter@thomsonreuters.com" TargetMode="External"/><Relationship Id="rId19" Type="http://schemas.openxmlformats.org/officeDocument/2006/relationships/image" Target="cid:image005.png@01D1124B.66321360" TargetMode="External"/><Relationship Id="rId4" Type="http://schemas.openxmlformats.org/officeDocument/2006/relationships/hyperlink" Target="http://online.thomsonreuters.com/edm/Email.aspx?id=vs635816921059247748e&amp;version=1" TargetMode="External"/><Relationship Id="rId9" Type="http://schemas.openxmlformats.org/officeDocument/2006/relationships/image" Target="cid:image003.jpg@01D1124B.66321360" TargetMode="External"/><Relationship Id="rId14" Type="http://schemas.openxmlformats.org/officeDocument/2006/relationships/hyperlink" Target="http://www.thomsonreute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2015-11-02T04:54:00Z</dcterms:created>
  <dcterms:modified xsi:type="dcterms:W3CDTF">2015-11-02T07:40:00Z</dcterms:modified>
</cp:coreProperties>
</file>